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50" w:rsidRDefault="005F4307">
      <w:pP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Descoberto novo mecanismo para combater bactérias multirresistentes</w:t>
      </w:r>
    </w:p>
    <w:p w:rsidR="005F4307" w:rsidRDefault="005F4307">
      <w:pP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Nos últimos anos, cientistas, médicos e companhias farmacêuticas têm procurado descobrir novos antibióticos ou estratégias alternativas contra bactérias multirresistentes, um sério problema de saúde da atualidade. Num estudo inovador agora publicado na revista</w:t>
      </w:r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 xml:space="preserve">PLOS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Biology</w:t>
      </w:r>
      <w:bookmarkStart w:id="0" w:name="_GoBack"/>
      <w:bookmarkEnd w:id="0"/>
      <w:proofErr w:type="spellEnd"/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,</w:t>
      </w:r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hyperlink r:id="rId4" w:tgtFrame="_blank" w:history="1">
        <w:r w:rsidRPr="005F430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pt-PT"/>
          </w:rPr>
          <w:t>Isabel Gordo e a sua equipa no Instituto Gulbenkian de Ciência (IGC)</w:t>
        </w:r>
      </w:hyperlink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identificaram um mecanismo compensatório que favorece o crescimento de bactérias multirresistentes e que pode ser usado no futuro como um novo alvo terapêutico contra estas bactérias.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À medida que o número de bactérias multirresistentes aumenta, é importante compreender como é que estas são mantidas na população. Os antibióticos estão desenhados para atacar funções celulares essenciais das bactérias. No entanto, as bactérias podem evoluir e tornar-se resistentes a esses fármacos ao adquirirem mutações nos genes envolvidos nessas funções. Isto traz um custo para as bactérias uma vez que a maior parte das mutações que conferem resistência são prejudiciais à bactéria na ausência do antibiótico. Para ultrapassarem isto, as bactérias podem adquirir outras mutações compensatórias. Era completamente desconhecido até agora como é que estas mutações compensatórias evoluem em bactérias multirresistentes, e foi isso que a equipa de Isabel Gordo se propôs a investigar.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Resultados anteriores do laboratório de Isabel Gordo mostraram que interações genéticas entre as mutações que conferem resistências ocorrem com frequência, e que essas interações são o motor do desenvolvimento de multirresistências. Agora, os investigadores mostraram que o ritmo da adaptação compensatória nas estirpes de</w:t>
      </w:r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Escherichia</w:t>
      </w:r>
      <w:proofErr w:type="spellEnd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coli</w:t>
      </w:r>
      <w:proofErr w:type="spellEnd"/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(</w:t>
      </w:r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 xml:space="preserve">E.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coli</w:t>
      </w:r>
      <w:proofErr w:type="spellEnd"/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) multirresistentes é mais rápido do que nas esti</w:t>
      </w:r>
      <w:r w:rsidR="00433AF2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r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pes que têm apenas uma mutação. Mais importante, foram capazes de identificar as proteínas chave envolvidas no mecanismo compensatório das bactérias multirresistentes. Estes resultados surgem da análise de estirpes de</w:t>
      </w:r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 xml:space="preserve">E.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coli</w:t>
      </w:r>
      <w:proofErr w:type="spellEnd"/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com apenas uma resistência a rifampicina e estreptomicina, e estirpes com resistência a ambos os antibióticos, crescidas em meio sem antibióticos.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“Se utilizássemos uma metáfora muito simplista e comparássemos as bactérias a um carro, podíamos dizer que muitas mutações que conferem resistência à estreptomicina afetam o motor da célula que conduz à produção de proteínas (o ribossoma), enquanto que as resistências à rifampicina surgem de mutações no acelerador desse motor (uma proteína chamada RNA polimerase). Nós agora descobrimos que o mecanismo compensatório da</w:t>
      </w:r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 xml:space="preserve">E. </w:t>
      </w:r>
      <w:proofErr w:type="spellStart"/>
      <w:r w:rsidRPr="005F4307">
        <w:rPr>
          <w:rFonts w:ascii="Arial" w:eastAsia="Times New Roman" w:hAnsi="Arial" w:cs="Arial"/>
          <w:i/>
          <w:iCs/>
          <w:color w:val="222222"/>
          <w:sz w:val="19"/>
          <w:szCs w:val="19"/>
          <w:lang w:eastAsia="pt-PT"/>
        </w:rPr>
        <w:t>coli</w:t>
      </w:r>
      <w:proofErr w:type="spellEnd"/>
      <w:r w:rsidR="00CC6085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multirresistente inclui mutações na ‘embraiagem’, isto é</w:t>
      </w:r>
      <w:r w:rsidR="008C5983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,</w:t>
      </w: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nas proteínas que ligam o ‘motor’ da célula ao ‘acelerador’”, explica Isabel Gordo. A investigadora do IGC acrescenta: “Se conseguirmos bloquear as proteínas agora identificadas talvez possamos matar bactérias multirresistentes, uma vez que estaríamos a eliminar este mecanismo compensatório que favorece o seu crescimento na população.”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A equipa de investigação prevê que o mecanismo agora descoberto possa ser usado de forma geral em muitos outros casos de multirresistências a fármacos, uma vez que os antibióticos </w:t>
      </w:r>
      <w:proofErr w:type="spellStart"/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afectam</w:t>
      </w:r>
      <w:proofErr w:type="spellEnd"/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 xml:space="preserve"> os mesmos mecanismos celulares. Assim, as proteínas agora identificadas podem ser bons alvos para o desenho de terapias contra bactérias multirresistentes.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9"/>
          <w:szCs w:val="19"/>
          <w:lang w:eastAsia="pt-PT"/>
        </w:rPr>
        <w:t>Este estudo foi conduzido no Instituto Gulbenkian de Ciência e financiado pelo Conselho Europeu de Investigação e pela Fundação para a Ciência e a Tecnologia.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8C5983" w:rsidRDefault="008C5983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PT"/>
        </w:rPr>
      </w:pPr>
      <w:r>
        <w:rPr>
          <w:rFonts w:ascii="Arial" w:eastAsia="Times New Roman" w:hAnsi="Arial" w:cs="Arial"/>
          <w:color w:val="222222"/>
          <w:sz w:val="17"/>
          <w:szCs w:val="17"/>
          <w:lang w:eastAsia="pt-PT"/>
        </w:rPr>
        <w:t>Referência do artigo:</w:t>
      </w:r>
    </w:p>
    <w:p w:rsidR="005F4307" w:rsidRPr="005F4307" w:rsidRDefault="005F4307" w:rsidP="005F43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Moura de Sousa J,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Balbontin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R, Durão P, Gordo I (2017)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Multidrug-resistant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bacteria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compensate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for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the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epistasis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between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resistances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.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PLoS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</w:t>
      </w:r>
      <w:proofErr w:type="spellStart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>Biol</w:t>
      </w:r>
      <w:proofErr w:type="spellEnd"/>
      <w:r w:rsidRPr="005F4307">
        <w:rPr>
          <w:rFonts w:ascii="Arial" w:eastAsia="Times New Roman" w:hAnsi="Arial" w:cs="Arial"/>
          <w:color w:val="222222"/>
          <w:sz w:val="17"/>
          <w:szCs w:val="17"/>
          <w:lang w:eastAsia="pt-PT"/>
        </w:rPr>
        <w:t xml:space="preserve"> 15(4): e2001741.</w:t>
      </w:r>
      <w:hyperlink r:id="rId5" w:tgtFrame="_blank" w:history="1">
        <w:r w:rsidRPr="005F4307">
          <w:rPr>
            <w:rFonts w:ascii="Arial" w:eastAsia="Times New Roman" w:hAnsi="Arial" w:cs="Arial"/>
            <w:color w:val="1155CC"/>
            <w:sz w:val="17"/>
            <w:szCs w:val="17"/>
            <w:u w:val="single"/>
            <w:lang w:eastAsia="pt-PT"/>
          </w:rPr>
          <w:t>https://doi.org/10.1371/journal.pbio.2001741</w:t>
        </w:r>
      </w:hyperlink>
    </w:p>
    <w:p w:rsidR="005F4307" w:rsidRDefault="005F4307"/>
    <w:p w:rsidR="005F4307" w:rsidRDefault="005F4307"/>
    <w:p w:rsidR="005F4307" w:rsidRDefault="005F4307">
      <w:r>
        <w:t>Ana Mena (IGC)</w:t>
      </w:r>
    </w:p>
    <w:p w:rsidR="005F4307" w:rsidRDefault="005F4307">
      <w:r>
        <w:t>Ciência na Imprensa Regional – Ciência Viva</w:t>
      </w:r>
    </w:p>
    <w:sectPr w:rsidR="005F4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56"/>
    <w:rsid w:val="001F7E56"/>
    <w:rsid w:val="00433AF2"/>
    <w:rsid w:val="005F4307"/>
    <w:rsid w:val="008C5983"/>
    <w:rsid w:val="00C4112C"/>
    <w:rsid w:val="00CC6085"/>
    <w:rsid w:val="00E5413B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3244"/>
  <w15:chartTrackingRefBased/>
  <w15:docId w15:val="{0B2FDCA4-E9E2-4AD8-B935-EFD234FC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F4307"/>
  </w:style>
  <w:style w:type="character" w:styleId="Hiperligao">
    <w:name w:val="Hyperlink"/>
    <w:basedOn w:val="Tipodeletrapredefinidodopargrafo"/>
    <w:uiPriority w:val="99"/>
    <w:semiHidden/>
    <w:unhideWhenUsed/>
    <w:rsid w:val="005F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371/journal.pbio.2001741" TargetMode="External"/><Relationship Id="rId4" Type="http://schemas.openxmlformats.org/officeDocument/2006/relationships/hyperlink" Target="http://wwwpt.igc.gulbenkian.pt/igor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2017-04-20T12:05:00Z</dcterms:created>
  <dcterms:modified xsi:type="dcterms:W3CDTF">2017-04-24T12:37:00Z</dcterms:modified>
</cp:coreProperties>
</file>