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68A" w:rsidRPr="00F5768A" w:rsidRDefault="00F5768A" w:rsidP="00F5768A">
      <w:pPr>
        <w:spacing w:before="100" w:beforeAutospacing="1" w:after="100" w:afterAutospacing="1" w:line="240" w:lineRule="auto"/>
        <w:rPr>
          <w:rFonts w:eastAsia="Times New Roman" w:cs="Calibri"/>
          <w:color w:val="1F497D"/>
          <w:sz w:val="28"/>
          <w:szCs w:val="28"/>
        </w:rPr>
      </w:pPr>
      <w:bookmarkStart w:id="0" w:name="_top"/>
      <w:bookmarkEnd w:id="0"/>
      <w:r w:rsidRPr="00F5768A">
        <w:rPr>
          <w:rFonts w:eastAsia="Times New Roman" w:cs="Calibri"/>
          <w:b/>
          <w:sz w:val="28"/>
          <w:szCs w:val="28"/>
        </w:rPr>
        <w:t>A origem do feijão português</w:t>
      </w:r>
      <w:r w:rsidRPr="00F5768A">
        <w:rPr>
          <w:rFonts w:eastAsia="Times New Roman" w:cs="Calibri"/>
          <w:color w:val="1F497D"/>
          <w:sz w:val="28"/>
          <w:szCs w:val="28"/>
        </w:rPr>
        <w:t xml:space="preserve"> </w:t>
      </w:r>
    </w:p>
    <w:p w:rsidR="002C2BE2" w:rsidRPr="00F5768A" w:rsidRDefault="002C2BE2">
      <w:pPr>
        <w:rPr>
          <w:sz w:val="24"/>
          <w:szCs w:val="24"/>
        </w:rPr>
      </w:pPr>
    </w:p>
    <w:p w:rsidR="00F5768A" w:rsidRPr="00F5768A" w:rsidRDefault="00F5768A">
      <w:pPr>
        <w:rPr>
          <w:sz w:val="24"/>
          <w:szCs w:val="24"/>
        </w:rPr>
      </w:pPr>
    </w:p>
    <w:p w:rsidR="00F5768A" w:rsidRPr="00F5768A" w:rsidRDefault="00F5768A" w:rsidP="00F5768A">
      <w:pPr>
        <w:spacing w:after="0" w:line="360" w:lineRule="auto"/>
        <w:rPr>
          <w:rFonts w:eastAsia="Times New Roman" w:cs="Calibri"/>
          <w:sz w:val="24"/>
          <w:szCs w:val="24"/>
        </w:rPr>
      </w:pPr>
      <w:r w:rsidRPr="00F5768A">
        <w:rPr>
          <w:rFonts w:eastAsia="Times New Roman" w:cs="Calibri"/>
          <w:sz w:val="24"/>
          <w:szCs w:val="24"/>
        </w:rPr>
        <w:t>O feijão português tem características genéticas únicas, com valor nutricional, de sabor e resistência a doenças agora descobertas que poderão permitir a sua valorização no mercado</w:t>
      </w:r>
      <w:r w:rsidRPr="00F5768A">
        <w:rPr>
          <w:sz w:val="24"/>
          <w:szCs w:val="24"/>
        </w:rPr>
        <w:t xml:space="preserve"> </w:t>
      </w:r>
      <w:r w:rsidRPr="00F5768A">
        <w:rPr>
          <w:rFonts w:eastAsia="Times New Roman" w:cs="Calibri"/>
          <w:sz w:val="24"/>
          <w:szCs w:val="24"/>
        </w:rPr>
        <w:t xml:space="preserve">e contribuir para a economia nacional. Estes resultados foram obtidos por investigadores do Instituto de Tecnologia Química e </w:t>
      </w:r>
      <w:proofErr w:type="spellStart"/>
      <w:proofErr w:type="gramStart"/>
      <w:r w:rsidRPr="00F5768A">
        <w:rPr>
          <w:rFonts w:eastAsia="Times New Roman" w:cs="Calibri"/>
          <w:sz w:val="24"/>
          <w:szCs w:val="24"/>
        </w:rPr>
        <w:t>Biológica,Universidade</w:t>
      </w:r>
      <w:proofErr w:type="spellEnd"/>
      <w:proofErr w:type="gramEnd"/>
      <w:r w:rsidRPr="00F5768A">
        <w:rPr>
          <w:rFonts w:eastAsia="Times New Roman" w:cs="Calibri"/>
          <w:sz w:val="24"/>
          <w:szCs w:val="24"/>
        </w:rPr>
        <w:t xml:space="preserve"> Nova de Lisboa (ITQB NOVA), com colaboradores do INIAV e da Universidade de Zagreb, Croácia, que estudaram 175 variedades de feijão portuguesa tendo descoberto a sua origem e evolução e sistematizado as suas características morfológicas mais típicas. Os resultados foram publicados na revista </w:t>
      </w:r>
      <w:proofErr w:type="spellStart"/>
      <w:r w:rsidRPr="00F5768A">
        <w:rPr>
          <w:rFonts w:eastAsia="Times New Roman" w:cs="Calibri"/>
          <w:sz w:val="24"/>
          <w:szCs w:val="24"/>
        </w:rPr>
        <w:t>Frontiers</w:t>
      </w:r>
      <w:proofErr w:type="spellEnd"/>
      <w:r w:rsidRPr="00F5768A">
        <w:rPr>
          <w:rFonts w:eastAsia="Times New Roman" w:cs="Calibri"/>
          <w:sz w:val="24"/>
          <w:szCs w:val="24"/>
        </w:rPr>
        <w:t xml:space="preserve"> in </w:t>
      </w:r>
      <w:proofErr w:type="spellStart"/>
      <w:r w:rsidRPr="00F5768A">
        <w:rPr>
          <w:rFonts w:eastAsia="Times New Roman" w:cs="Calibri"/>
          <w:sz w:val="24"/>
          <w:szCs w:val="24"/>
        </w:rPr>
        <w:t>Plant</w:t>
      </w:r>
      <w:proofErr w:type="spellEnd"/>
      <w:r w:rsidRPr="00F5768A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F5768A">
        <w:rPr>
          <w:rFonts w:eastAsia="Times New Roman" w:cs="Calibri"/>
          <w:sz w:val="24"/>
          <w:szCs w:val="24"/>
        </w:rPr>
        <w:t>Sciences</w:t>
      </w:r>
      <w:proofErr w:type="spellEnd"/>
      <w:r w:rsidRPr="00F5768A">
        <w:rPr>
          <w:rFonts w:eastAsia="Times New Roman" w:cs="Calibri"/>
          <w:sz w:val="24"/>
          <w:szCs w:val="24"/>
        </w:rPr>
        <w:t xml:space="preserve">. </w:t>
      </w:r>
    </w:p>
    <w:p w:rsidR="00F5768A" w:rsidRPr="00F5768A" w:rsidRDefault="00F5768A" w:rsidP="00F5768A">
      <w:pPr>
        <w:spacing w:after="0" w:line="360" w:lineRule="auto"/>
        <w:rPr>
          <w:rFonts w:eastAsia="Times New Roman" w:cs="Calibri"/>
          <w:sz w:val="24"/>
          <w:szCs w:val="24"/>
        </w:rPr>
      </w:pPr>
      <w:r w:rsidRPr="00F5768A">
        <w:rPr>
          <w:rFonts w:eastAsia="Times New Roman" w:cs="Calibri"/>
          <w:sz w:val="24"/>
          <w:szCs w:val="24"/>
        </w:rPr>
        <w:t xml:space="preserve">Apesar do feijão representar 75% do consumo total das leguminosas em Portugal, apenas 9.4% é de origem nacional. A maioria das </w:t>
      </w:r>
      <w:r w:rsidR="00091704" w:rsidRPr="00F5768A">
        <w:rPr>
          <w:rFonts w:eastAsia="Times New Roman" w:cs="Calibri"/>
          <w:sz w:val="24"/>
          <w:szCs w:val="24"/>
        </w:rPr>
        <w:t>variedades</w:t>
      </w:r>
      <w:bookmarkStart w:id="1" w:name="_GoBack"/>
      <w:bookmarkEnd w:id="1"/>
      <w:r w:rsidRPr="00F5768A">
        <w:rPr>
          <w:rFonts w:eastAsia="Times New Roman" w:cs="Calibri"/>
          <w:sz w:val="24"/>
          <w:szCs w:val="24"/>
        </w:rPr>
        <w:t xml:space="preserve"> disponíveis no mercado são importadas sendo as tradicionais portuguesas consumidas sobretudo por pequenas comunidades rurais. “Estudar o feijão português deu-nos dados genéticos que nos permitem perceber a evolução da espécie no nosso país ao longo dos séculos em que tem sido cultivada e consumida” segundo Carlota Vaz </w:t>
      </w:r>
      <w:proofErr w:type="spellStart"/>
      <w:r w:rsidRPr="00F5768A">
        <w:rPr>
          <w:rFonts w:eastAsia="Times New Roman" w:cs="Calibri"/>
          <w:sz w:val="24"/>
          <w:szCs w:val="24"/>
        </w:rPr>
        <w:t>Patto</w:t>
      </w:r>
      <w:proofErr w:type="spellEnd"/>
      <w:r w:rsidRPr="00F5768A">
        <w:rPr>
          <w:rFonts w:eastAsia="Times New Roman" w:cs="Calibri"/>
          <w:sz w:val="24"/>
          <w:szCs w:val="24"/>
        </w:rPr>
        <w:t xml:space="preserve">, investigadora do ITQB NOVA responsável por este estudo. “Para além disso, os resultados que agora </w:t>
      </w:r>
      <w:r w:rsidRPr="00F5768A">
        <w:rPr>
          <w:rFonts w:eastAsia="Times New Roman" w:cs="Calibri"/>
          <w:sz w:val="24"/>
          <w:szCs w:val="24"/>
        </w:rPr>
        <w:t>obtivemos</w:t>
      </w:r>
      <w:r w:rsidRPr="00F5768A">
        <w:rPr>
          <w:rFonts w:eastAsia="Times New Roman" w:cs="Calibri"/>
          <w:sz w:val="24"/>
          <w:szCs w:val="24"/>
        </w:rPr>
        <w:t xml:space="preserve"> vão permitir que este recurso nacional seja também valorizado pela comunidade científica mundial”.</w:t>
      </w:r>
    </w:p>
    <w:p w:rsidR="00F5768A" w:rsidRPr="00F5768A" w:rsidRDefault="00F5768A" w:rsidP="00F5768A">
      <w:pPr>
        <w:spacing w:after="0" w:line="360" w:lineRule="auto"/>
        <w:rPr>
          <w:rFonts w:eastAsia="Times New Roman" w:cs="Calibri"/>
          <w:sz w:val="24"/>
          <w:szCs w:val="24"/>
        </w:rPr>
      </w:pPr>
      <w:r w:rsidRPr="00F5768A">
        <w:rPr>
          <w:rFonts w:eastAsia="Times New Roman" w:cs="Calibri"/>
          <w:sz w:val="24"/>
          <w:szCs w:val="24"/>
        </w:rPr>
        <w:t>O feijão é originário da América, havendo dois centros a partir dos quais se espalhou para o resto do mundo: os Andes e a América Central. Em Portugal foi introduzido na altura dos Descobrimentos (</w:t>
      </w:r>
      <w:proofErr w:type="spellStart"/>
      <w:r w:rsidRPr="00F5768A">
        <w:rPr>
          <w:rFonts w:eastAsia="Times New Roman" w:cs="Calibri"/>
          <w:sz w:val="24"/>
          <w:szCs w:val="24"/>
        </w:rPr>
        <w:t>séc</w:t>
      </w:r>
      <w:proofErr w:type="spellEnd"/>
      <w:r w:rsidRPr="00F5768A">
        <w:rPr>
          <w:rFonts w:eastAsia="Times New Roman" w:cs="Calibri"/>
          <w:sz w:val="24"/>
          <w:szCs w:val="24"/>
        </w:rPr>
        <w:t xml:space="preserve"> XV - XVI) e desde então tem sido cultivado e </w:t>
      </w:r>
      <w:proofErr w:type="spellStart"/>
      <w:r w:rsidRPr="00F5768A">
        <w:rPr>
          <w:rFonts w:eastAsia="Times New Roman" w:cs="Calibri"/>
          <w:sz w:val="24"/>
          <w:szCs w:val="24"/>
        </w:rPr>
        <w:t>seleccionado</w:t>
      </w:r>
      <w:proofErr w:type="spellEnd"/>
      <w:r w:rsidRPr="00F5768A">
        <w:rPr>
          <w:rFonts w:eastAsia="Times New Roman" w:cs="Calibri"/>
          <w:sz w:val="24"/>
          <w:szCs w:val="24"/>
        </w:rPr>
        <w:t xml:space="preserve"> por diversas gerações de agricultores em todo o País. Com o trabalho de investigação do laboratório de Carlota Vaz </w:t>
      </w:r>
      <w:proofErr w:type="spellStart"/>
      <w:r w:rsidRPr="00F5768A">
        <w:rPr>
          <w:rFonts w:eastAsia="Times New Roman" w:cs="Calibri"/>
          <w:sz w:val="24"/>
          <w:szCs w:val="24"/>
        </w:rPr>
        <w:t>Patto</w:t>
      </w:r>
      <w:proofErr w:type="spellEnd"/>
      <w:r w:rsidRPr="00F5768A">
        <w:rPr>
          <w:rFonts w:eastAsia="Times New Roman" w:cs="Calibri"/>
          <w:sz w:val="24"/>
          <w:szCs w:val="24"/>
        </w:rPr>
        <w:t>, do ITQB NOVA, descobriu-se que a maioria dos feijões cultivados em Portugal é geneticamente mais próximo do original Andino, mas 1/3 das sementes analisadas resultaram do cruzamento e combinações genéticas entre feijões dos dois grupos originais. Os agricultores portugueses têm vindo a cruzar variedades muitos diferentes entre si ao longo dos últimos 5 séculos, tendo resultado uma mistura portuguesa c</w:t>
      </w:r>
      <w:r w:rsidR="00DE349B">
        <w:rPr>
          <w:rFonts w:eastAsia="Times New Roman" w:cs="Calibri"/>
          <w:sz w:val="24"/>
          <w:szCs w:val="24"/>
        </w:rPr>
        <w:t>om combinações genéticas únicas</w:t>
      </w:r>
      <w:r w:rsidRPr="00F5768A">
        <w:rPr>
          <w:rFonts w:eastAsia="Times New Roman" w:cs="Calibri"/>
          <w:sz w:val="24"/>
          <w:szCs w:val="24"/>
        </w:rPr>
        <w:t xml:space="preserve"> e com grande interesse para o melhoramento do cultivo do feijão. </w:t>
      </w:r>
    </w:p>
    <w:p w:rsidR="00F5768A" w:rsidRPr="00F5768A" w:rsidRDefault="00F5768A" w:rsidP="00F5768A">
      <w:pPr>
        <w:spacing w:after="0" w:line="360" w:lineRule="auto"/>
        <w:rPr>
          <w:rFonts w:eastAsia="Times New Roman" w:cs="Calibri"/>
          <w:sz w:val="24"/>
          <w:szCs w:val="24"/>
        </w:rPr>
      </w:pPr>
    </w:p>
    <w:p w:rsidR="00F5768A" w:rsidRPr="00DE349B" w:rsidRDefault="00F5768A" w:rsidP="00F5768A">
      <w:pPr>
        <w:spacing w:after="0" w:line="360" w:lineRule="auto"/>
        <w:rPr>
          <w:rFonts w:cs="Calibri"/>
          <w:b/>
          <w:sz w:val="24"/>
          <w:szCs w:val="24"/>
          <w:lang w:val="en-US"/>
        </w:rPr>
      </w:pPr>
      <w:proofErr w:type="spellStart"/>
      <w:r w:rsidRPr="00DE349B">
        <w:rPr>
          <w:rFonts w:cs="Calibri"/>
          <w:b/>
          <w:sz w:val="24"/>
          <w:szCs w:val="24"/>
          <w:lang w:val="en-US"/>
        </w:rPr>
        <w:t>Artigo</w:t>
      </w:r>
      <w:proofErr w:type="spellEnd"/>
      <w:r w:rsidRPr="00DE349B">
        <w:rPr>
          <w:rFonts w:cs="Calibri"/>
          <w:b/>
          <w:sz w:val="24"/>
          <w:szCs w:val="24"/>
          <w:lang w:val="en-US"/>
        </w:rPr>
        <w:t xml:space="preserve"> original</w:t>
      </w:r>
    </w:p>
    <w:p w:rsidR="00F5768A" w:rsidRPr="00F5768A" w:rsidRDefault="00F5768A" w:rsidP="00F5768A">
      <w:pPr>
        <w:spacing w:after="0" w:line="360" w:lineRule="auto"/>
        <w:rPr>
          <w:sz w:val="24"/>
          <w:szCs w:val="24"/>
          <w:lang w:val="en-US"/>
        </w:rPr>
      </w:pPr>
      <w:r w:rsidRPr="00F5768A">
        <w:rPr>
          <w:sz w:val="24"/>
          <w:szCs w:val="24"/>
          <w:lang w:val="en-US"/>
        </w:rPr>
        <w:t>Front. Plant Sci., 26 July 2017 | https://doi.org/10.3389/fpls.2017.01296</w:t>
      </w:r>
    </w:p>
    <w:p w:rsidR="00F5768A" w:rsidRPr="00F5768A" w:rsidRDefault="00F5768A" w:rsidP="00F5768A">
      <w:pPr>
        <w:spacing w:after="0" w:line="360" w:lineRule="auto"/>
        <w:rPr>
          <w:sz w:val="24"/>
          <w:szCs w:val="24"/>
          <w:lang w:val="en-US"/>
        </w:rPr>
      </w:pPr>
      <w:r w:rsidRPr="00F5768A">
        <w:rPr>
          <w:sz w:val="24"/>
          <w:szCs w:val="24"/>
          <w:lang w:val="en-US"/>
        </w:rPr>
        <w:t>Establishing the Bases for Introducing the Unexplored Portuguese Common Bean Germplasm into the Breeding World</w:t>
      </w:r>
    </w:p>
    <w:p w:rsidR="00F5768A" w:rsidRPr="00F5768A" w:rsidRDefault="00F5768A" w:rsidP="00F5768A">
      <w:pPr>
        <w:spacing w:after="0" w:line="360" w:lineRule="auto"/>
        <w:rPr>
          <w:sz w:val="24"/>
          <w:szCs w:val="24"/>
        </w:rPr>
      </w:pPr>
      <w:r w:rsidRPr="00F5768A">
        <w:rPr>
          <w:sz w:val="24"/>
          <w:szCs w:val="24"/>
        </w:rPr>
        <w:t xml:space="preserve">Susana Trindade Leitão, Marco Dinis, Maria Manuela Veloso, </w:t>
      </w:r>
      <w:proofErr w:type="spellStart"/>
      <w:r w:rsidRPr="00F5768A">
        <w:rPr>
          <w:sz w:val="24"/>
          <w:szCs w:val="24"/>
        </w:rPr>
        <w:t>Zlatko</w:t>
      </w:r>
      <w:proofErr w:type="spellEnd"/>
      <w:r w:rsidRPr="00F5768A">
        <w:rPr>
          <w:sz w:val="24"/>
          <w:szCs w:val="24"/>
        </w:rPr>
        <w:t xml:space="preserve"> </w:t>
      </w:r>
      <w:proofErr w:type="spellStart"/>
      <w:r w:rsidRPr="00F5768A">
        <w:rPr>
          <w:sz w:val="24"/>
          <w:szCs w:val="24"/>
        </w:rPr>
        <w:t>Šatović</w:t>
      </w:r>
      <w:proofErr w:type="spellEnd"/>
      <w:r w:rsidRPr="00F5768A">
        <w:rPr>
          <w:sz w:val="24"/>
          <w:szCs w:val="24"/>
        </w:rPr>
        <w:t xml:space="preserve"> </w:t>
      </w:r>
      <w:proofErr w:type="spellStart"/>
      <w:r w:rsidRPr="00F5768A">
        <w:rPr>
          <w:sz w:val="24"/>
          <w:szCs w:val="24"/>
        </w:rPr>
        <w:t>and</w:t>
      </w:r>
      <w:proofErr w:type="spellEnd"/>
      <w:r w:rsidRPr="00F5768A">
        <w:rPr>
          <w:sz w:val="24"/>
          <w:szCs w:val="24"/>
        </w:rPr>
        <w:t xml:space="preserve"> Maria Carlota Vaz </w:t>
      </w:r>
      <w:proofErr w:type="spellStart"/>
      <w:r w:rsidRPr="00F5768A">
        <w:rPr>
          <w:sz w:val="24"/>
          <w:szCs w:val="24"/>
        </w:rPr>
        <w:t>Patto</w:t>
      </w:r>
      <w:proofErr w:type="spellEnd"/>
    </w:p>
    <w:p w:rsidR="00F5768A" w:rsidRPr="00F5768A" w:rsidRDefault="00F5768A">
      <w:pPr>
        <w:rPr>
          <w:sz w:val="24"/>
          <w:szCs w:val="24"/>
        </w:rPr>
      </w:pPr>
    </w:p>
    <w:p w:rsidR="00F5768A" w:rsidRPr="00F5768A" w:rsidRDefault="00F5768A">
      <w:pPr>
        <w:rPr>
          <w:sz w:val="24"/>
          <w:szCs w:val="24"/>
        </w:rPr>
      </w:pPr>
    </w:p>
    <w:p w:rsidR="00F5768A" w:rsidRPr="00DE349B" w:rsidRDefault="00F5768A" w:rsidP="00F5768A">
      <w:pPr>
        <w:rPr>
          <w:rFonts w:cs="Calibri"/>
          <w:sz w:val="24"/>
          <w:szCs w:val="24"/>
        </w:rPr>
      </w:pPr>
      <w:r w:rsidRPr="00DE349B">
        <w:rPr>
          <w:rFonts w:cs="Calibri"/>
          <w:sz w:val="24"/>
          <w:szCs w:val="24"/>
        </w:rPr>
        <w:t>Gabinete de Comunicação</w:t>
      </w:r>
      <w:r w:rsidRPr="00DE349B">
        <w:rPr>
          <w:rFonts w:cs="Calibri"/>
          <w:sz w:val="24"/>
          <w:szCs w:val="24"/>
        </w:rPr>
        <w:t xml:space="preserve"> - </w:t>
      </w:r>
      <w:r w:rsidRPr="00DE349B">
        <w:rPr>
          <w:rFonts w:cs="Calibri"/>
          <w:sz w:val="24"/>
          <w:szCs w:val="24"/>
        </w:rPr>
        <w:t>ITQB NOVA</w:t>
      </w:r>
    </w:p>
    <w:p w:rsidR="00F5768A" w:rsidRPr="00DE349B" w:rsidRDefault="00F5768A" w:rsidP="00F5768A">
      <w:pPr>
        <w:rPr>
          <w:rFonts w:cs="Calibri"/>
          <w:sz w:val="24"/>
          <w:szCs w:val="24"/>
          <w:u w:val="single"/>
        </w:rPr>
      </w:pPr>
      <w:r w:rsidRPr="00DE349B">
        <w:rPr>
          <w:rFonts w:cs="Calibri"/>
          <w:sz w:val="24"/>
          <w:szCs w:val="24"/>
        </w:rPr>
        <w:t>Ciência na Imprensa Regional – Ciência Viva</w:t>
      </w:r>
    </w:p>
    <w:p w:rsidR="00F5768A" w:rsidRPr="00F5768A" w:rsidRDefault="00F5768A" w:rsidP="00F5768A">
      <w:pPr>
        <w:pStyle w:val="NormalWeb"/>
        <w:rPr>
          <w:rFonts w:ascii="Calibri" w:hAnsi="Calibri" w:cs="Calibri"/>
          <w:b/>
        </w:rPr>
      </w:pPr>
    </w:p>
    <w:sectPr w:rsidR="00F5768A" w:rsidRPr="00F57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9C"/>
    <w:rsid w:val="00091704"/>
    <w:rsid w:val="002C2BE2"/>
    <w:rsid w:val="0078449C"/>
    <w:rsid w:val="00C26C8F"/>
    <w:rsid w:val="00DE349B"/>
    <w:rsid w:val="00F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30B8"/>
  <w15:chartTrackingRefBased/>
  <w15:docId w15:val="{557CFBDD-B077-4DCB-A315-DE400127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2017-09-10T14:02:00Z</dcterms:created>
  <dcterms:modified xsi:type="dcterms:W3CDTF">2017-09-10T14:11:00Z</dcterms:modified>
</cp:coreProperties>
</file>