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A8D50B" w14:textId="77777777" w:rsidR="00DC7CB7" w:rsidRPr="00DC7CB7" w:rsidRDefault="00DC7CB7" w:rsidP="00DC7CB7">
      <w:pPr>
        <w:spacing w:before="100" w:beforeAutospacing="1" w:after="100" w:afterAutospacing="1" w:line="240" w:lineRule="auto"/>
        <w:outlineLvl w:val="0"/>
        <w:rPr>
          <w:rFonts w:asciiTheme="minorHAnsi" w:eastAsia="Times New Roman" w:hAnsiTheme="minorHAnsi" w:cstheme="minorHAnsi"/>
          <w:b/>
          <w:bCs/>
          <w:kern w:val="36"/>
          <w:sz w:val="28"/>
          <w:szCs w:val="28"/>
          <w:lang w:eastAsia="pt-PT"/>
        </w:rPr>
      </w:pPr>
      <w:r w:rsidRPr="00DC7CB7">
        <w:rPr>
          <w:rFonts w:asciiTheme="minorHAnsi" w:eastAsia="Times New Roman" w:hAnsiTheme="minorHAnsi" w:cstheme="minorHAnsi"/>
          <w:b/>
          <w:bCs/>
          <w:kern w:val="36"/>
          <w:sz w:val="28"/>
          <w:szCs w:val="28"/>
          <w:lang w:eastAsia="pt-PT"/>
        </w:rPr>
        <w:t>15 milhões de euros para a implementação de um novo centro de investigação em Portugal</w:t>
      </w:r>
    </w:p>
    <w:p w14:paraId="46FC3A3A" w14:textId="7D29CE46" w:rsidR="002C2BE2" w:rsidRPr="00DC7CB7" w:rsidRDefault="002C2BE2">
      <w:pPr>
        <w:rPr>
          <w:rFonts w:asciiTheme="minorHAnsi" w:hAnsiTheme="minorHAnsi" w:cstheme="minorHAnsi"/>
          <w:sz w:val="24"/>
          <w:szCs w:val="24"/>
        </w:rPr>
      </w:pPr>
    </w:p>
    <w:p w14:paraId="47DB5415" w14:textId="44357ED3" w:rsidR="00DC7CB7" w:rsidRPr="00DC7CB7" w:rsidRDefault="00DC7CB7">
      <w:pPr>
        <w:rPr>
          <w:rFonts w:asciiTheme="minorHAnsi" w:hAnsiTheme="minorHAnsi" w:cstheme="minorHAnsi"/>
          <w:sz w:val="24"/>
          <w:szCs w:val="24"/>
        </w:rPr>
      </w:pPr>
    </w:p>
    <w:p w14:paraId="06371435" w14:textId="77777777" w:rsidR="00DC7CB7" w:rsidRPr="00DC7CB7" w:rsidRDefault="00DC7CB7" w:rsidP="00DC7CB7">
      <w:pPr>
        <w:spacing w:before="100" w:beforeAutospacing="1" w:after="100" w:afterAutospacing="1" w:line="240" w:lineRule="auto"/>
        <w:outlineLvl w:val="0"/>
        <w:rPr>
          <w:rFonts w:asciiTheme="minorHAnsi" w:eastAsia="Times New Roman" w:hAnsiTheme="minorHAnsi" w:cstheme="minorHAnsi"/>
          <w:bCs/>
          <w:kern w:val="36"/>
          <w:sz w:val="24"/>
          <w:szCs w:val="24"/>
          <w:lang w:eastAsia="pt-PT"/>
        </w:rPr>
      </w:pPr>
      <w:r w:rsidRPr="00DC7CB7">
        <w:rPr>
          <w:rFonts w:asciiTheme="minorHAnsi" w:eastAsia="Times New Roman" w:hAnsiTheme="minorHAnsi" w:cstheme="minorHAnsi"/>
          <w:sz w:val="24"/>
          <w:szCs w:val="24"/>
          <w:lang w:eastAsia="pt-PT"/>
        </w:rPr>
        <w:t xml:space="preserve">A União Europeia </w:t>
      </w:r>
      <w:bookmarkStart w:id="0" w:name="_GoBack"/>
      <w:bookmarkEnd w:id="0"/>
      <w:r w:rsidRPr="00DC7CB7">
        <w:rPr>
          <w:rFonts w:asciiTheme="minorHAnsi" w:eastAsia="Times New Roman" w:hAnsiTheme="minorHAnsi" w:cstheme="minorHAnsi"/>
          <w:sz w:val="24"/>
          <w:szCs w:val="24"/>
          <w:lang w:eastAsia="pt-PT"/>
        </w:rPr>
        <w:t xml:space="preserve">atribuiu um financiamento de 15 milhões de euros para a implementação de um Centro de Investigação </w:t>
      </w:r>
      <w:r w:rsidRPr="00DC7CB7">
        <w:rPr>
          <w:rFonts w:asciiTheme="minorHAnsi" w:eastAsia="Times New Roman" w:hAnsiTheme="minorHAnsi" w:cstheme="minorHAnsi"/>
          <w:bCs/>
          <w:kern w:val="36"/>
          <w:sz w:val="24"/>
          <w:szCs w:val="24"/>
          <w:lang w:eastAsia="pt-PT"/>
        </w:rPr>
        <w:t xml:space="preserve">em Medicina Regenerativa e de Precisão em Portugal </w:t>
      </w:r>
      <w:r w:rsidRPr="00DC7CB7">
        <w:rPr>
          <w:rFonts w:asciiTheme="minorHAnsi" w:eastAsia="Times New Roman" w:hAnsiTheme="minorHAnsi" w:cstheme="minorHAnsi"/>
          <w:sz w:val="24"/>
          <w:szCs w:val="24"/>
          <w:lang w:eastAsia="pt-PT"/>
        </w:rPr>
        <w:t xml:space="preserve">até 2024. O consórcio inclui o ITQB NOVA e CEDOC da Universidade NOVA de Lisboa, a Universidade do Minho, </w:t>
      </w:r>
      <w:hyperlink r:id="rId4" w:tgtFrame="_blank" w:history="1">
        <w:r w:rsidRPr="00DC7CB7">
          <w:rPr>
            <w:rFonts w:asciiTheme="minorHAnsi" w:eastAsia="Times New Roman" w:hAnsiTheme="minorHAnsi" w:cstheme="minorHAnsi"/>
            <w:sz w:val="24"/>
            <w:szCs w:val="24"/>
            <w:lang w:eastAsia="pt-PT"/>
          </w:rPr>
          <w:t>Universidade do Porto</w:t>
        </w:r>
      </w:hyperlink>
      <w:r w:rsidRPr="00DC7CB7">
        <w:rPr>
          <w:rFonts w:asciiTheme="minorHAnsi" w:eastAsia="Times New Roman" w:hAnsiTheme="minorHAnsi" w:cstheme="minorHAnsi"/>
          <w:sz w:val="24"/>
          <w:szCs w:val="24"/>
          <w:lang w:eastAsia="pt-PT"/>
        </w:rPr>
        <w:t xml:space="preserve">, </w:t>
      </w:r>
      <w:hyperlink r:id="rId5" w:tgtFrame="_blank" w:history="1">
        <w:r w:rsidRPr="00DC7CB7">
          <w:rPr>
            <w:rFonts w:asciiTheme="minorHAnsi" w:eastAsia="Times New Roman" w:hAnsiTheme="minorHAnsi" w:cstheme="minorHAnsi"/>
            <w:sz w:val="24"/>
            <w:szCs w:val="24"/>
            <w:lang w:eastAsia="pt-PT"/>
          </w:rPr>
          <w:t>Universidade de Aveiro</w:t>
        </w:r>
      </w:hyperlink>
      <w:r w:rsidRPr="00DC7CB7">
        <w:rPr>
          <w:rFonts w:asciiTheme="minorHAnsi" w:eastAsia="Times New Roman" w:hAnsiTheme="minorHAnsi" w:cstheme="minorHAnsi"/>
          <w:sz w:val="24"/>
          <w:szCs w:val="24"/>
          <w:lang w:eastAsia="pt-PT"/>
        </w:rPr>
        <w:t xml:space="preserve">, </w:t>
      </w:r>
      <w:hyperlink r:id="rId6" w:tgtFrame="_blank" w:history="1">
        <w:r w:rsidRPr="00DC7CB7">
          <w:rPr>
            <w:rFonts w:asciiTheme="minorHAnsi" w:eastAsia="Times New Roman" w:hAnsiTheme="minorHAnsi" w:cstheme="minorHAnsi"/>
            <w:sz w:val="24"/>
            <w:szCs w:val="24"/>
            <w:lang w:eastAsia="pt-PT"/>
          </w:rPr>
          <w:t>Universidade de Lisboa</w:t>
        </w:r>
      </w:hyperlink>
      <w:r w:rsidRPr="00DC7CB7">
        <w:rPr>
          <w:rFonts w:asciiTheme="minorHAnsi" w:eastAsia="Times New Roman" w:hAnsiTheme="minorHAnsi" w:cstheme="minorHAnsi"/>
          <w:sz w:val="24"/>
          <w:szCs w:val="24"/>
          <w:lang w:eastAsia="pt-PT"/>
        </w:rPr>
        <w:t xml:space="preserve"> e o </w:t>
      </w:r>
      <w:hyperlink r:id="rId7" w:tgtFrame="_blank" w:history="1">
        <w:proofErr w:type="spellStart"/>
        <w:r w:rsidRPr="00DC7CB7">
          <w:rPr>
            <w:rFonts w:asciiTheme="minorHAnsi" w:eastAsia="Times New Roman" w:hAnsiTheme="minorHAnsi" w:cstheme="minorHAnsi"/>
            <w:sz w:val="24"/>
            <w:szCs w:val="24"/>
            <w:lang w:eastAsia="pt-PT"/>
          </w:rPr>
          <w:t>University</w:t>
        </w:r>
        <w:proofErr w:type="spellEnd"/>
        <w:r w:rsidRPr="00DC7CB7">
          <w:rPr>
            <w:rFonts w:asciiTheme="minorHAnsi" w:eastAsia="Times New Roman" w:hAnsiTheme="minorHAnsi" w:cstheme="minorHAnsi"/>
            <w:sz w:val="24"/>
            <w:szCs w:val="24"/>
            <w:lang w:eastAsia="pt-PT"/>
          </w:rPr>
          <w:t xml:space="preserve"> </w:t>
        </w:r>
        <w:proofErr w:type="spellStart"/>
        <w:r w:rsidRPr="00DC7CB7">
          <w:rPr>
            <w:rFonts w:asciiTheme="minorHAnsi" w:eastAsia="Times New Roman" w:hAnsiTheme="minorHAnsi" w:cstheme="minorHAnsi"/>
            <w:sz w:val="24"/>
            <w:szCs w:val="24"/>
            <w:lang w:eastAsia="pt-PT"/>
          </w:rPr>
          <w:t>College</w:t>
        </w:r>
        <w:proofErr w:type="spellEnd"/>
        <w:r w:rsidRPr="00DC7CB7">
          <w:rPr>
            <w:rFonts w:asciiTheme="minorHAnsi" w:eastAsia="Times New Roman" w:hAnsiTheme="minorHAnsi" w:cstheme="minorHAnsi"/>
            <w:sz w:val="24"/>
            <w:szCs w:val="24"/>
            <w:lang w:eastAsia="pt-PT"/>
          </w:rPr>
          <w:t xml:space="preserve"> </w:t>
        </w:r>
        <w:proofErr w:type="spellStart"/>
        <w:r w:rsidRPr="00DC7CB7">
          <w:rPr>
            <w:rFonts w:asciiTheme="minorHAnsi" w:eastAsia="Times New Roman" w:hAnsiTheme="minorHAnsi" w:cstheme="minorHAnsi"/>
            <w:sz w:val="24"/>
            <w:szCs w:val="24"/>
            <w:lang w:eastAsia="pt-PT"/>
          </w:rPr>
          <w:t>of</w:t>
        </w:r>
        <w:proofErr w:type="spellEnd"/>
        <w:r w:rsidRPr="00DC7CB7">
          <w:rPr>
            <w:rFonts w:asciiTheme="minorHAnsi" w:eastAsia="Times New Roman" w:hAnsiTheme="minorHAnsi" w:cstheme="minorHAnsi"/>
            <w:sz w:val="24"/>
            <w:szCs w:val="24"/>
            <w:lang w:eastAsia="pt-PT"/>
          </w:rPr>
          <w:t xml:space="preserve"> London</w:t>
        </w:r>
      </w:hyperlink>
      <w:r w:rsidRPr="00DC7CB7">
        <w:rPr>
          <w:rFonts w:asciiTheme="minorHAnsi" w:eastAsia="Times New Roman" w:hAnsiTheme="minorHAnsi" w:cstheme="minorHAnsi"/>
          <w:sz w:val="24"/>
          <w:szCs w:val="24"/>
          <w:lang w:eastAsia="pt-PT"/>
        </w:rPr>
        <w:t xml:space="preserve"> no Reino Unido.  O Centro de Medicina Regenerativa e de Precisão </w:t>
      </w:r>
      <w:proofErr w:type="spellStart"/>
      <w:r w:rsidRPr="00DC7CB7">
        <w:rPr>
          <w:rFonts w:asciiTheme="minorHAnsi" w:eastAsia="Times New Roman" w:hAnsiTheme="minorHAnsi" w:cstheme="minorHAnsi"/>
          <w:sz w:val="24"/>
          <w:szCs w:val="24"/>
          <w:lang w:eastAsia="pt-PT"/>
        </w:rPr>
        <w:t>Discoveries</w:t>
      </w:r>
      <w:proofErr w:type="spellEnd"/>
      <w:r w:rsidRPr="00DC7CB7">
        <w:rPr>
          <w:rFonts w:asciiTheme="minorHAnsi" w:eastAsia="Times New Roman" w:hAnsiTheme="minorHAnsi" w:cstheme="minorHAnsi"/>
          <w:sz w:val="24"/>
          <w:szCs w:val="24"/>
          <w:lang w:eastAsia="pt-PT"/>
        </w:rPr>
        <w:t xml:space="preserve"> foi lançado oficialmente no dia 5 de </w:t>
      </w:r>
      <w:proofErr w:type="gramStart"/>
      <w:r w:rsidRPr="00DC7CB7">
        <w:rPr>
          <w:rFonts w:asciiTheme="minorHAnsi" w:eastAsia="Times New Roman" w:hAnsiTheme="minorHAnsi" w:cstheme="minorHAnsi"/>
          <w:sz w:val="24"/>
          <w:szCs w:val="24"/>
          <w:lang w:eastAsia="pt-PT"/>
        </w:rPr>
        <w:t>Fevereiro</w:t>
      </w:r>
      <w:proofErr w:type="gramEnd"/>
      <w:r w:rsidRPr="00DC7CB7">
        <w:rPr>
          <w:rFonts w:asciiTheme="minorHAnsi" w:eastAsia="Times New Roman" w:hAnsiTheme="minorHAnsi" w:cstheme="minorHAnsi"/>
          <w:sz w:val="24"/>
          <w:szCs w:val="24"/>
          <w:lang w:eastAsia="pt-PT"/>
        </w:rPr>
        <w:t>, em Londres.</w:t>
      </w:r>
      <w:r w:rsidRPr="00DC7CB7">
        <w:rPr>
          <w:rFonts w:asciiTheme="minorHAnsi" w:eastAsia="Times New Roman" w:hAnsiTheme="minorHAnsi" w:cstheme="minorHAnsi"/>
          <w:bCs/>
          <w:kern w:val="36"/>
          <w:sz w:val="24"/>
          <w:szCs w:val="24"/>
          <w:lang w:eastAsia="pt-PT"/>
        </w:rPr>
        <w:t xml:space="preserve"> </w:t>
      </w:r>
    </w:p>
    <w:p w14:paraId="0A0EEB5B" w14:textId="77777777" w:rsidR="00DC7CB7" w:rsidRPr="00DC7CB7" w:rsidRDefault="00DC7CB7" w:rsidP="00DC7CB7">
      <w:pPr>
        <w:spacing w:before="100" w:beforeAutospacing="1" w:after="100" w:afterAutospacing="1" w:line="240" w:lineRule="auto"/>
        <w:outlineLvl w:val="0"/>
        <w:rPr>
          <w:rFonts w:asciiTheme="minorHAnsi" w:eastAsia="Times New Roman" w:hAnsiTheme="minorHAnsi" w:cstheme="minorHAnsi"/>
          <w:sz w:val="24"/>
          <w:szCs w:val="24"/>
          <w:lang w:eastAsia="pt-PT"/>
        </w:rPr>
      </w:pPr>
      <w:r w:rsidRPr="00DC7CB7">
        <w:rPr>
          <w:rFonts w:asciiTheme="minorHAnsi" w:eastAsia="Times New Roman" w:hAnsiTheme="minorHAnsi" w:cstheme="minorHAnsi"/>
          <w:bCs/>
          <w:kern w:val="36"/>
          <w:sz w:val="24"/>
          <w:szCs w:val="24"/>
          <w:lang w:eastAsia="pt-PT"/>
        </w:rPr>
        <w:t>A medicina regenerativa é uma área de investigação interdisciplinar que combina novas estratégias terapêuticas em contexto clínico para conseguir a regeneração de tecidos ou órgãos que foram lesados ou eliminados por doença ou acidente. Já a medicina de precisão é uma nova abordagem para tratamento e prevenção de doenças que considera a variabilidade entre pessoas, tornando cada doente único.</w:t>
      </w:r>
    </w:p>
    <w:p w14:paraId="7967BB13" w14:textId="77777777" w:rsidR="00DC7CB7" w:rsidRPr="00DC7CB7" w:rsidRDefault="00DC7CB7" w:rsidP="00DC7CB7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eastAsia="pt-PT"/>
        </w:rPr>
      </w:pPr>
      <w:r w:rsidRPr="00DC7CB7">
        <w:rPr>
          <w:rFonts w:asciiTheme="minorHAnsi" w:eastAsia="Times New Roman" w:hAnsiTheme="minorHAnsi" w:cstheme="minorHAnsi"/>
          <w:sz w:val="24"/>
          <w:szCs w:val="24"/>
          <w:lang w:eastAsia="pt-PT"/>
        </w:rPr>
        <w:t xml:space="preserve">“O </w:t>
      </w:r>
      <w:proofErr w:type="spellStart"/>
      <w:r w:rsidRPr="00DC7CB7">
        <w:rPr>
          <w:rFonts w:asciiTheme="minorHAnsi" w:eastAsia="Times New Roman" w:hAnsiTheme="minorHAnsi" w:cstheme="minorHAnsi"/>
          <w:bCs/>
          <w:sz w:val="24"/>
          <w:szCs w:val="24"/>
          <w:lang w:eastAsia="pt-PT"/>
        </w:rPr>
        <w:t>Discoveries</w:t>
      </w:r>
      <w:proofErr w:type="spellEnd"/>
      <w:r w:rsidRPr="00DC7CB7">
        <w:rPr>
          <w:rFonts w:asciiTheme="minorHAnsi" w:eastAsia="Times New Roman" w:hAnsiTheme="minorHAnsi" w:cstheme="minorHAnsi"/>
          <w:bCs/>
          <w:sz w:val="24"/>
          <w:szCs w:val="24"/>
          <w:lang w:eastAsia="pt-PT"/>
        </w:rPr>
        <w:t xml:space="preserve"> </w:t>
      </w:r>
      <w:proofErr w:type="spellStart"/>
      <w:r w:rsidRPr="00DC7CB7">
        <w:rPr>
          <w:rFonts w:asciiTheme="minorHAnsi" w:eastAsia="Times New Roman" w:hAnsiTheme="minorHAnsi" w:cstheme="minorHAnsi"/>
          <w:bCs/>
          <w:sz w:val="24"/>
          <w:szCs w:val="24"/>
          <w:lang w:eastAsia="pt-PT"/>
        </w:rPr>
        <w:t>Center</w:t>
      </w:r>
      <w:proofErr w:type="spellEnd"/>
      <w:r w:rsidRPr="00DC7CB7">
        <w:rPr>
          <w:rFonts w:asciiTheme="minorHAnsi" w:eastAsia="Times New Roman" w:hAnsiTheme="minorHAnsi" w:cstheme="minorHAnsi"/>
          <w:bCs/>
          <w:sz w:val="24"/>
          <w:szCs w:val="24"/>
          <w:lang w:eastAsia="pt-PT"/>
        </w:rPr>
        <w:t xml:space="preserve"> nasceu graças ao conhecimento que estas instituições portuguesas já têm sobre a área, que foi considerado </w:t>
      </w:r>
      <w:proofErr w:type="spellStart"/>
      <w:r w:rsidRPr="00DC7CB7">
        <w:rPr>
          <w:rFonts w:asciiTheme="minorHAnsi" w:eastAsia="Times New Roman" w:hAnsiTheme="minorHAnsi" w:cstheme="minorHAnsi"/>
          <w:bCs/>
          <w:sz w:val="24"/>
          <w:szCs w:val="24"/>
          <w:lang w:eastAsia="pt-PT"/>
        </w:rPr>
        <w:t>excepcional</w:t>
      </w:r>
      <w:proofErr w:type="spellEnd"/>
      <w:r w:rsidRPr="00DC7CB7">
        <w:rPr>
          <w:rFonts w:asciiTheme="minorHAnsi" w:eastAsia="Times New Roman" w:hAnsiTheme="minorHAnsi" w:cstheme="minorHAnsi"/>
          <w:bCs/>
          <w:sz w:val="24"/>
          <w:szCs w:val="24"/>
          <w:lang w:eastAsia="pt-PT"/>
        </w:rPr>
        <w:t xml:space="preserve"> pela União Europeia. Queremos contribuir para o avanço do conhecimento científico nesta área da Medicina e o financiamento que nos foi dado vamos poder atrair os melhores cientistas e conseguir reter os mais produtivos”, segundo</w:t>
      </w:r>
      <w:r w:rsidRPr="00DC7CB7">
        <w:rPr>
          <w:rFonts w:asciiTheme="minorHAnsi" w:eastAsia="Times New Roman" w:hAnsiTheme="minorHAnsi" w:cstheme="minorHAnsi"/>
          <w:sz w:val="24"/>
          <w:szCs w:val="24"/>
          <w:lang w:eastAsia="pt-PT"/>
        </w:rPr>
        <w:t xml:space="preserve"> </w:t>
      </w:r>
      <w:r w:rsidRPr="00DC7CB7">
        <w:rPr>
          <w:rFonts w:asciiTheme="minorHAnsi" w:eastAsia="Times New Roman" w:hAnsiTheme="minorHAnsi" w:cstheme="minorHAnsi"/>
          <w:bCs/>
          <w:sz w:val="24"/>
          <w:szCs w:val="24"/>
          <w:lang w:eastAsia="pt-PT"/>
        </w:rPr>
        <w:t>Paula Alves</w:t>
      </w:r>
      <w:r w:rsidRPr="00DC7CB7">
        <w:rPr>
          <w:rFonts w:asciiTheme="minorHAnsi" w:eastAsia="Times New Roman" w:hAnsiTheme="minorHAnsi" w:cstheme="minorHAnsi"/>
          <w:sz w:val="24"/>
          <w:szCs w:val="24"/>
          <w:lang w:eastAsia="pt-PT"/>
        </w:rPr>
        <w:t>, coordenadora da participação do ITQB NOVA no consórcio. “Para Oeiras vamos trazer meio milhão de euros, que nos vai permitir contratar dois cientistas líderes de grupo e dar-lhes as melhores condições para trabalhar”.</w:t>
      </w:r>
    </w:p>
    <w:p w14:paraId="1B80D0E0" w14:textId="77777777" w:rsidR="00DC7CB7" w:rsidRPr="00DC7CB7" w:rsidRDefault="00DC7CB7" w:rsidP="00DC7CB7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eastAsia="pt-PT"/>
        </w:rPr>
      </w:pPr>
    </w:p>
    <w:p w14:paraId="37D9D65A" w14:textId="77777777" w:rsidR="00DC7CB7" w:rsidRPr="00DC7CB7" w:rsidRDefault="00DC7CB7" w:rsidP="00DC7CB7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eastAsia="pt-PT"/>
        </w:rPr>
      </w:pPr>
      <w:r w:rsidRPr="00DC7CB7">
        <w:rPr>
          <w:rFonts w:asciiTheme="minorHAnsi" w:eastAsia="Times New Roman" w:hAnsiTheme="minorHAnsi" w:cstheme="minorHAnsi"/>
          <w:sz w:val="24"/>
          <w:szCs w:val="24"/>
          <w:lang w:eastAsia="pt-PT"/>
        </w:rPr>
        <w:t xml:space="preserve">Na Imagem: equipa da Universidade Nova de Lisboa envolvida no Centro </w:t>
      </w:r>
      <w:proofErr w:type="spellStart"/>
      <w:r w:rsidRPr="00DC7CB7">
        <w:rPr>
          <w:rFonts w:asciiTheme="minorHAnsi" w:eastAsia="Times New Roman" w:hAnsiTheme="minorHAnsi" w:cstheme="minorHAnsi"/>
          <w:sz w:val="24"/>
          <w:szCs w:val="24"/>
          <w:lang w:eastAsia="pt-PT"/>
        </w:rPr>
        <w:t>Discoveries</w:t>
      </w:r>
      <w:proofErr w:type="spellEnd"/>
      <w:r w:rsidRPr="00DC7CB7">
        <w:rPr>
          <w:rFonts w:asciiTheme="minorHAnsi" w:eastAsia="Times New Roman" w:hAnsiTheme="minorHAnsi" w:cstheme="minorHAnsi"/>
          <w:sz w:val="24"/>
          <w:szCs w:val="24"/>
          <w:lang w:eastAsia="pt-PT"/>
        </w:rPr>
        <w:t xml:space="preserve">: </w:t>
      </w:r>
      <w:hyperlink r:id="rId8" w:tgtFrame="_blank" w:history="1">
        <w:r w:rsidRPr="00DC7CB7">
          <w:rPr>
            <w:rStyle w:val="Hiperligao"/>
            <w:rFonts w:asciiTheme="minorHAnsi" w:hAnsiTheme="minorHAnsi" w:cstheme="minorHAnsi"/>
            <w:sz w:val="24"/>
            <w:szCs w:val="24"/>
          </w:rPr>
          <w:t xml:space="preserve">Ana Sofia </w:t>
        </w:r>
        <w:proofErr w:type="spellStart"/>
        <w:r w:rsidRPr="00DC7CB7">
          <w:rPr>
            <w:rStyle w:val="Hiperligao"/>
            <w:rFonts w:asciiTheme="minorHAnsi" w:hAnsiTheme="minorHAnsi" w:cstheme="minorHAnsi"/>
            <w:sz w:val="24"/>
            <w:szCs w:val="24"/>
          </w:rPr>
          <w:t>Coroadinha</w:t>
        </w:r>
        <w:proofErr w:type="spellEnd"/>
        <w:r w:rsidRPr="00DC7CB7">
          <w:rPr>
            <w:rStyle w:val="Hiperligao"/>
            <w:rFonts w:asciiTheme="minorHAnsi" w:hAnsiTheme="minorHAnsi" w:cstheme="minorHAnsi"/>
            <w:sz w:val="24"/>
            <w:szCs w:val="24"/>
          </w:rPr>
          <w:t xml:space="preserve"> </w:t>
        </w:r>
      </w:hyperlink>
      <w:r w:rsidRPr="00DC7CB7">
        <w:rPr>
          <w:rStyle w:val="discreet"/>
          <w:rFonts w:asciiTheme="minorHAnsi" w:hAnsiTheme="minorHAnsi" w:cstheme="minorHAnsi"/>
          <w:sz w:val="24"/>
          <w:szCs w:val="24"/>
        </w:rPr>
        <w:t>(</w:t>
      </w:r>
      <w:hyperlink r:id="rId9" w:tgtFrame="_blank" w:history="1">
        <w:r w:rsidRPr="00DC7CB7">
          <w:rPr>
            <w:rStyle w:val="Hiperligao"/>
            <w:rFonts w:asciiTheme="minorHAnsi" w:hAnsiTheme="minorHAnsi" w:cstheme="minorHAnsi"/>
            <w:b/>
            <w:bCs/>
            <w:sz w:val="24"/>
            <w:szCs w:val="24"/>
          </w:rPr>
          <w:t>ITQB NOVA</w:t>
        </w:r>
      </w:hyperlink>
      <w:r w:rsidRPr="00DC7CB7">
        <w:rPr>
          <w:rStyle w:val="discreet"/>
          <w:rFonts w:asciiTheme="minorHAnsi" w:hAnsiTheme="minorHAnsi" w:cstheme="minorHAnsi"/>
          <w:sz w:val="24"/>
          <w:szCs w:val="24"/>
        </w:rPr>
        <w:t xml:space="preserve">), </w:t>
      </w:r>
      <w:hyperlink r:id="rId10" w:tgtFrame="_blank" w:history="1">
        <w:r w:rsidRPr="00DC7CB7">
          <w:rPr>
            <w:rStyle w:val="Hiperligao"/>
            <w:rFonts w:asciiTheme="minorHAnsi" w:hAnsiTheme="minorHAnsi" w:cstheme="minorHAnsi"/>
            <w:sz w:val="24"/>
            <w:szCs w:val="24"/>
          </w:rPr>
          <w:t>Paula Alves</w:t>
        </w:r>
      </w:hyperlink>
      <w:r w:rsidRPr="00DC7CB7">
        <w:rPr>
          <w:rStyle w:val="discreet"/>
          <w:rFonts w:asciiTheme="minorHAnsi" w:hAnsiTheme="minorHAnsi" w:cstheme="minorHAnsi"/>
          <w:sz w:val="24"/>
          <w:szCs w:val="24"/>
        </w:rPr>
        <w:t xml:space="preserve"> (</w:t>
      </w:r>
      <w:hyperlink r:id="rId11" w:tgtFrame="_blank" w:history="1">
        <w:r w:rsidRPr="00DC7CB7">
          <w:rPr>
            <w:rStyle w:val="Hiperligao"/>
            <w:rFonts w:asciiTheme="minorHAnsi" w:hAnsiTheme="minorHAnsi" w:cstheme="minorHAnsi"/>
            <w:b/>
            <w:bCs/>
            <w:sz w:val="24"/>
            <w:szCs w:val="24"/>
          </w:rPr>
          <w:t>ITQB NOVA</w:t>
        </w:r>
      </w:hyperlink>
      <w:r w:rsidRPr="00DC7CB7">
        <w:rPr>
          <w:rStyle w:val="discreet"/>
          <w:rFonts w:asciiTheme="minorHAnsi" w:hAnsiTheme="minorHAnsi" w:cstheme="minorHAnsi"/>
          <w:sz w:val="24"/>
          <w:szCs w:val="24"/>
        </w:rPr>
        <w:t xml:space="preserve">), </w:t>
      </w:r>
      <w:hyperlink r:id="rId12" w:tgtFrame="_blank" w:history="1">
        <w:r w:rsidRPr="00DC7CB7">
          <w:rPr>
            <w:rStyle w:val="Hiperligao"/>
            <w:rFonts w:asciiTheme="minorHAnsi" w:hAnsiTheme="minorHAnsi" w:cstheme="minorHAnsi"/>
            <w:sz w:val="24"/>
            <w:szCs w:val="24"/>
          </w:rPr>
          <w:t>Catarina Brito</w:t>
        </w:r>
      </w:hyperlink>
      <w:r w:rsidRPr="00DC7CB7">
        <w:rPr>
          <w:rStyle w:val="discreet"/>
          <w:rFonts w:asciiTheme="minorHAnsi" w:hAnsiTheme="minorHAnsi" w:cstheme="minorHAnsi"/>
          <w:sz w:val="24"/>
          <w:szCs w:val="24"/>
        </w:rPr>
        <w:t xml:space="preserve"> (</w:t>
      </w:r>
      <w:hyperlink r:id="rId13" w:tgtFrame="_blank" w:history="1">
        <w:r w:rsidRPr="00DC7CB7">
          <w:rPr>
            <w:rStyle w:val="Hiperligao"/>
            <w:rFonts w:asciiTheme="minorHAnsi" w:hAnsiTheme="minorHAnsi" w:cstheme="minorHAnsi"/>
            <w:b/>
            <w:bCs/>
            <w:sz w:val="24"/>
            <w:szCs w:val="24"/>
          </w:rPr>
          <w:t>ITQB NOVA</w:t>
        </w:r>
      </w:hyperlink>
      <w:r w:rsidRPr="00DC7CB7">
        <w:rPr>
          <w:rStyle w:val="discreet"/>
          <w:rFonts w:asciiTheme="minorHAnsi" w:hAnsiTheme="minorHAnsi" w:cstheme="minorHAnsi"/>
          <w:sz w:val="24"/>
          <w:szCs w:val="24"/>
        </w:rPr>
        <w:t xml:space="preserve">), </w:t>
      </w:r>
      <w:hyperlink r:id="rId14" w:tgtFrame="_blank" w:history="1">
        <w:r w:rsidRPr="00DC7CB7">
          <w:rPr>
            <w:rStyle w:val="Hiperligao"/>
            <w:rFonts w:asciiTheme="minorHAnsi" w:hAnsiTheme="minorHAnsi" w:cstheme="minorHAnsi"/>
            <w:sz w:val="24"/>
            <w:szCs w:val="24"/>
          </w:rPr>
          <w:t>António Jacinto</w:t>
        </w:r>
      </w:hyperlink>
      <w:r w:rsidRPr="00DC7CB7">
        <w:rPr>
          <w:rStyle w:val="discreet"/>
          <w:rFonts w:asciiTheme="minorHAnsi" w:hAnsiTheme="minorHAnsi" w:cstheme="minorHAnsi"/>
          <w:sz w:val="24"/>
          <w:szCs w:val="24"/>
        </w:rPr>
        <w:t xml:space="preserve"> (CEDOC) e </w:t>
      </w:r>
      <w:hyperlink r:id="rId15" w:tgtFrame="_blank" w:history="1">
        <w:r w:rsidRPr="00DC7CB7">
          <w:rPr>
            <w:rStyle w:val="Hiperligao"/>
            <w:rFonts w:asciiTheme="minorHAnsi" w:hAnsiTheme="minorHAnsi" w:cstheme="minorHAnsi"/>
            <w:sz w:val="24"/>
            <w:szCs w:val="24"/>
          </w:rPr>
          <w:t>Miguel Seabra</w:t>
        </w:r>
      </w:hyperlink>
      <w:r w:rsidRPr="00DC7CB7">
        <w:rPr>
          <w:rStyle w:val="discreet"/>
          <w:rFonts w:asciiTheme="minorHAnsi" w:hAnsiTheme="minorHAnsi" w:cstheme="minorHAnsi"/>
          <w:sz w:val="24"/>
          <w:szCs w:val="24"/>
        </w:rPr>
        <w:t xml:space="preserve"> (CEDOC)</w:t>
      </w:r>
    </w:p>
    <w:p w14:paraId="534F2C48" w14:textId="3B00FE48" w:rsidR="00DC7CB7" w:rsidRPr="00DC7CB7" w:rsidRDefault="00DC7CB7">
      <w:pPr>
        <w:rPr>
          <w:rFonts w:asciiTheme="minorHAnsi" w:hAnsiTheme="minorHAnsi" w:cstheme="minorHAnsi"/>
          <w:sz w:val="24"/>
          <w:szCs w:val="24"/>
        </w:rPr>
      </w:pPr>
    </w:p>
    <w:p w14:paraId="3027E3DA" w14:textId="779244C0" w:rsidR="00DC7CB7" w:rsidRPr="00DC7CB7" w:rsidRDefault="00DC7CB7">
      <w:pPr>
        <w:rPr>
          <w:rFonts w:asciiTheme="minorHAnsi" w:hAnsiTheme="minorHAnsi" w:cstheme="minorHAnsi"/>
          <w:sz w:val="24"/>
          <w:szCs w:val="24"/>
        </w:rPr>
      </w:pPr>
      <w:r w:rsidRPr="00DC7CB7">
        <w:rPr>
          <w:rFonts w:asciiTheme="minorHAnsi" w:hAnsiTheme="minorHAnsi" w:cstheme="minorHAnsi"/>
          <w:sz w:val="24"/>
          <w:szCs w:val="24"/>
        </w:rPr>
        <w:t>Ciência na Imprensa Regional – Ciência Viva</w:t>
      </w:r>
    </w:p>
    <w:sectPr w:rsidR="00DC7CB7" w:rsidRPr="00DC7C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FB2"/>
    <w:rsid w:val="002C2BE2"/>
    <w:rsid w:val="00525FB2"/>
    <w:rsid w:val="00C26C8F"/>
    <w:rsid w:val="00DC7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1DA8A"/>
  <w15:chartTrackingRefBased/>
  <w15:docId w15:val="{00FCEEDC-09F9-4F43-9925-00C1332E7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C7CB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discreet">
    <w:name w:val="discreet"/>
    <w:rsid w:val="00DC7CB7"/>
  </w:style>
  <w:style w:type="character" w:styleId="Hiperligao">
    <w:name w:val="Hyperlink"/>
    <w:uiPriority w:val="99"/>
    <w:unhideWhenUsed/>
    <w:rsid w:val="00DC7CB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qb.unl.pt/research/technology/Cell%20Line%20Development%20and%20Molecular%20Biotechnology%20Laboratory" TargetMode="External"/><Relationship Id="rId13" Type="http://schemas.openxmlformats.org/officeDocument/2006/relationships/hyperlink" Target="http://www.itqb.unl.pt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ucl.ac.uk/" TargetMode="External"/><Relationship Id="rId12" Type="http://schemas.openxmlformats.org/officeDocument/2006/relationships/hyperlink" Target="http://www.itqb.unl.pt/research/technology/advanced-cell-models/advanced-cell-models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ulisboa.pt/" TargetMode="External"/><Relationship Id="rId11" Type="http://schemas.openxmlformats.org/officeDocument/2006/relationships/hyperlink" Target="http://www.itqb.unl.pt/" TargetMode="External"/><Relationship Id="rId5" Type="http://schemas.openxmlformats.org/officeDocument/2006/relationships/hyperlink" Target="http://www.ua.pt/" TargetMode="External"/><Relationship Id="rId15" Type="http://schemas.openxmlformats.org/officeDocument/2006/relationships/hyperlink" Target="http://cedoc.unl.pt/molecular-mechanisms-of-disease/" TargetMode="External"/><Relationship Id="rId10" Type="http://schemas.openxmlformats.org/officeDocument/2006/relationships/hyperlink" Target="http://www.itqb.unl.pt/research/technology/Cell%20Bioprocesses%20Laboratory" TargetMode="External"/><Relationship Id="rId4" Type="http://schemas.openxmlformats.org/officeDocument/2006/relationships/hyperlink" Target="https://sigarra.up.pt/up/pt/web_base.gera_pagina?p_pagina=home" TargetMode="External"/><Relationship Id="rId9" Type="http://schemas.openxmlformats.org/officeDocument/2006/relationships/hyperlink" Target="http://www.itqb.unl.pt/" TargetMode="External"/><Relationship Id="rId14" Type="http://schemas.openxmlformats.org/officeDocument/2006/relationships/hyperlink" Target="http://cedoc.unl.pt/tissue-morphogenesis-and-repair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434</Words>
  <Characters>2346</Characters>
  <Application>Microsoft Office Word</Application>
  <DocSecurity>0</DocSecurity>
  <Lines>19</Lines>
  <Paragraphs>5</Paragraphs>
  <ScaleCrop>false</ScaleCrop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Piedade</dc:creator>
  <cp:keywords/>
  <dc:description/>
  <cp:lastModifiedBy>António Piedade</cp:lastModifiedBy>
  <cp:revision>2</cp:revision>
  <dcterms:created xsi:type="dcterms:W3CDTF">2018-02-12T17:36:00Z</dcterms:created>
  <dcterms:modified xsi:type="dcterms:W3CDTF">2018-02-12T17:37:00Z</dcterms:modified>
</cp:coreProperties>
</file>