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69087" w14:textId="0B1440C4" w:rsidR="002C2BE2" w:rsidRPr="00643A7B" w:rsidRDefault="00643A7B" w:rsidP="00643A7B">
      <w:pPr>
        <w:spacing w:line="360" w:lineRule="auto"/>
        <w:rPr>
          <w:rFonts w:cstheme="minorHAnsi"/>
          <w:b/>
          <w:bCs/>
          <w:color w:val="222222"/>
          <w:sz w:val="24"/>
          <w:szCs w:val="24"/>
          <w:shd w:val="clear" w:color="auto" w:fill="FFFFFF"/>
          <w:lang w:val="pt-PT"/>
        </w:rPr>
      </w:pPr>
      <w:r w:rsidRPr="00643A7B">
        <w:rPr>
          <w:rFonts w:cstheme="minorHAnsi"/>
          <w:b/>
          <w:bCs/>
          <w:color w:val="222222"/>
          <w:sz w:val="24"/>
          <w:szCs w:val="24"/>
          <w:shd w:val="clear" w:color="auto" w:fill="FFFFFF"/>
          <w:lang w:val="pt-PT"/>
        </w:rPr>
        <w:t>Quando ter a bateria fraca é uma coisa boa</w:t>
      </w:r>
    </w:p>
    <w:p w14:paraId="23054E7C" w14:textId="1DA0B621" w:rsidR="00643A7B" w:rsidRPr="00643A7B" w:rsidRDefault="00643A7B" w:rsidP="00643A7B">
      <w:pPr>
        <w:spacing w:line="360" w:lineRule="auto"/>
        <w:rPr>
          <w:rFonts w:cstheme="minorHAnsi"/>
          <w:sz w:val="24"/>
          <w:szCs w:val="24"/>
          <w:lang w:val="pt-PT"/>
        </w:rPr>
      </w:pPr>
    </w:p>
    <w:p w14:paraId="27511209" w14:textId="77777777" w:rsidR="00643A7B" w:rsidRPr="00643A7B" w:rsidRDefault="00643A7B" w:rsidP="00643A7B">
      <w:pPr>
        <w:shd w:val="clear" w:color="auto" w:fill="FFFFFF"/>
        <w:spacing w:after="0" w:line="360" w:lineRule="auto"/>
        <w:jc w:val="both"/>
        <w:rPr>
          <w:rFonts w:eastAsia="Times New Roman" w:cstheme="minorHAnsi"/>
          <w:color w:val="222222"/>
          <w:sz w:val="24"/>
          <w:szCs w:val="24"/>
          <w:lang w:val="pt-PT" w:eastAsia="pt-PT"/>
        </w:rPr>
      </w:pPr>
      <w:r w:rsidRPr="00643A7B">
        <w:rPr>
          <w:rFonts w:eastAsia="Times New Roman" w:cstheme="minorHAnsi"/>
          <w:iCs/>
          <w:color w:val="222222"/>
          <w:sz w:val="24"/>
          <w:szCs w:val="24"/>
          <w:lang w:val="pt-PT" w:eastAsia="pt-PT"/>
        </w:rPr>
        <w:t>Novo estudo mostra como os glóbulos brancos do intestino são controlados</w:t>
      </w:r>
    </w:p>
    <w:p w14:paraId="6C2D9F0F" w14:textId="597A2DD3" w:rsidR="00643A7B" w:rsidRPr="00643A7B" w:rsidRDefault="00643A7B" w:rsidP="00643A7B">
      <w:pPr>
        <w:shd w:val="clear" w:color="auto" w:fill="FFFFFF"/>
        <w:spacing w:after="0" w:line="360" w:lineRule="auto"/>
        <w:jc w:val="both"/>
        <w:rPr>
          <w:rFonts w:eastAsia="Times New Roman" w:cstheme="minorHAnsi"/>
          <w:color w:val="222222"/>
          <w:sz w:val="24"/>
          <w:szCs w:val="24"/>
          <w:lang w:val="pt-PT" w:eastAsia="pt-PT"/>
        </w:rPr>
      </w:pPr>
    </w:p>
    <w:p w14:paraId="2D3C00B4" w14:textId="0560B5F2" w:rsidR="00643A7B" w:rsidRPr="00643A7B" w:rsidRDefault="00643A7B" w:rsidP="00643A7B">
      <w:pPr>
        <w:shd w:val="clear" w:color="auto" w:fill="FFFFFF"/>
        <w:spacing w:after="0" w:line="360" w:lineRule="auto"/>
        <w:jc w:val="both"/>
        <w:rPr>
          <w:rFonts w:eastAsia="Times New Roman" w:cstheme="minorHAnsi"/>
          <w:color w:val="222222"/>
          <w:sz w:val="24"/>
          <w:szCs w:val="24"/>
          <w:lang w:val="pt-PT" w:eastAsia="pt-PT"/>
        </w:rPr>
      </w:pPr>
      <w:r w:rsidRPr="00643A7B">
        <w:rPr>
          <w:rFonts w:eastAsia="Times New Roman" w:cstheme="minorHAnsi"/>
          <w:color w:val="222222"/>
          <w:sz w:val="24"/>
          <w:szCs w:val="24"/>
          <w:lang w:val="pt-PT" w:eastAsia="pt-PT"/>
        </w:rPr>
        <w:t xml:space="preserve">O intestino humano trabalha todos os dias num equilíbrio que garante a retenção de nutrientes essenciais impedindo, ao mesmo tempo, a entrada de micróbios possivelmente prejudiciais. Este sistema de vigilância tem a contribuição de um grupo especializado de células do sistema imunitário que, embora tenham muitas características de ativação contra agentes externos, controlam a sua resposta. Agora, um novo estudo conduzido por </w:t>
      </w:r>
      <w:proofErr w:type="spellStart"/>
      <w:r w:rsidRPr="00643A7B">
        <w:rPr>
          <w:rFonts w:eastAsia="Times New Roman" w:cstheme="minorHAnsi"/>
          <w:color w:val="222222"/>
          <w:sz w:val="24"/>
          <w:szCs w:val="24"/>
          <w:lang w:val="pt-PT" w:eastAsia="pt-PT"/>
        </w:rPr>
        <w:t>Marc</w:t>
      </w:r>
      <w:proofErr w:type="spellEnd"/>
      <w:r w:rsidRPr="00643A7B">
        <w:rPr>
          <w:rFonts w:eastAsia="Times New Roman" w:cstheme="minorHAnsi"/>
          <w:color w:val="222222"/>
          <w:sz w:val="24"/>
          <w:szCs w:val="24"/>
          <w:lang w:val="pt-PT" w:eastAsia="pt-PT"/>
        </w:rPr>
        <w:t xml:space="preserve"> </w:t>
      </w:r>
      <w:proofErr w:type="spellStart"/>
      <w:r w:rsidRPr="00643A7B">
        <w:rPr>
          <w:rFonts w:eastAsia="Times New Roman" w:cstheme="minorHAnsi"/>
          <w:color w:val="222222"/>
          <w:sz w:val="24"/>
          <w:szCs w:val="24"/>
          <w:lang w:val="pt-PT" w:eastAsia="pt-PT"/>
        </w:rPr>
        <w:t>Veldhoen</w:t>
      </w:r>
      <w:proofErr w:type="spellEnd"/>
      <w:r w:rsidRPr="00643A7B">
        <w:rPr>
          <w:rFonts w:eastAsia="Times New Roman" w:cstheme="minorHAnsi"/>
          <w:color w:val="222222"/>
          <w:sz w:val="24"/>
          <w:szCs w:val="24"/>
          <w:lang w:val="pt-PT" w:eastAsia="pt-PT"/>
        </w:rPr>
        <w:t>, investigador principal no Instituto de Medicina Molecular João Lobo Antunes (</w:t>
      </w:r>
      <w:proofErr w:type="spellStart"/>
      <w:r w:rsidRPr="00643A7B">
        <w:rPr>
          <w:rFonts w:eastAsia="Times New Roman" w:cstheme="minorHAnsi"/>
          <w:color w:val="222222"/>
          <w:sz w:val="24"/>
          <w:szCs w:val="24"/>
          <w:lang w:val="pt-PT" w:eastAsia="pt-PT"/>
        </w:rPr>
        <w:t>iMM</w:t>
      </w:r>
      <w:proofErr w:type="spellEnd"/>
      <w:r w:rsidRPr="00643A7B">
        <w:rPr>
          <w:rFonts w:eastAsia="Times New Roman" w:cstheme="minorHAnsi"/>
          <w:color w:val="222222"/>
          <w:sz w:val="24"/>
          <w:szCs w:val="24"/>
          <w:lang w:val="pt-PT" w:eastAsia="pt-PT"/>
        </w:rPr>
        <w:t>; Portugal;</w:t>
      </w:r>
      <w:r>
        <w:rPr>
          <w:rFonts w:eastAsia="Times New Roman" w:cstheme="minorHAnsi"/>
          <w:color w:val="222222"/>
          <w:sz w:val="24"/>
          <w:szCs w:val="24"/>
          <w:lang w:val="pt-PT" w:eastAsia="pt-PT"/>
        </w:rPr>
        <w:t xml:space="preserve"> </w:t>
      </w:r>
      <w:hyperlink r:id="rId4" w:history="1">
        <w:r w:rsidRPr="000921A5">
          <w:rPr>
            <w:rStyle w:val="Hiperligao"/>
            <w:rFonts w:eastAsia="Times New Roman" w:cstheme="minorHAnsi"/>
            <w:sz w:val="24"/>
            <w:szCs w:val="24"/>
            <w:lang w:val="pt-PT" w:eastAsia="pt-PT"/>
          </w:rPr>
          <w:t>https://imm.medicina.ulisboa.pt/pt/investigacao/laboratorios/veldhoen-marc-lab/</w:t>
        </w:r>
      </w:hyperlink>
      <w:r w:rsidRPr="00643A7B">
        <w:rPr>
          <w:rFonts w:eastAsia="Times New Roman" w:cstheme="minorHAnsi"/>
          <w:color w:val="222222"/>
          <w:sz w:val="24"/>
          <w:szCs w:val="24"/>
          <w:lang w:val="pt-PT" w:eastAsia="pt-PT"/>
        </w:rPr>
        <w:t xml:space="preserve">) mostra como estas células são controladas. O trabalho </w:t>
      </w:r>
      <w:r>
        <w:rPr>
          <w:rFonts w:eastAsia="Times New Roman" w:cstheme="minorHAnsi"/>
          <w:color w:val="222222"/>
          <w:sz w:val="24"/>
          <w:szCs w:val="24"/>
          <w:lang w:val="pt-PT" w:eastAsia="pt-PT"/>
        </w:rPr>
        <w:t>foi</w:t>
      </w:r>
      <w:r w:rsidRPr="00643A7B">
        <w:rPr>
          <w:rFonts w:eastAsia="Times New Roman" w:cstheme="minorHAnsi"/>
          <w:color w:val="222222"/>
          <w:sz w:val="24"/>
          <w:szCs w:val="24"/>
          <w:lang w:val="pt-PT" w:eastAsia="pt-PT"/>
        </w:rPr>
        <w:t xml:space="preserve"> publicado na revista científica</w:t>
      </w:r>
      <w:r>
        <w:rPr>
          <w:rFonts w:eastAsia="Times New Roman" w:cstheme="minorHAnsi"/>
          <w:color w:val="222222"/>
          <w:sz w:val="24"/>
          <w:szCs w:val="24"/>
          <w:lang w:val="pt-PT" w:eastAsia="pt-PT"/>
        </w:rPr>
        <w:t xml:space="preserve"> </w:t>
      </w:r>
      <w:proofErr w:type="spellStart"/>
      <w:r w:rsidRPr="00643A7B">
        <w:rPr>
          <w:rFonts w:eastAsia="Times New Roman" w:cstheme="minorHAnsi"/>
          <w:i/>
          <w:iCs/>
          <w:color w:val="222222"/>
          <w:sz w:val="24"/>
          <w:szCs w:val="24"/>
          <w:lang w:val="pt-PT" w:eastAsia="pt-PT"/>
        </w:rPr>
        <w:t>Science</w:t>
      </w:r>
      <w:proofErr w:type="spellEnd"/>
      <w:r w:rsidRPr="00643A7B">
        <w:rPr>
          <w:rFonts w:eastAsia="Times New Roman" w:cstheme="minorHAnsi"/>
          <w:i/>
          <w:iCs/>
          <w:color w:val="222222"/>
          <w:sz w:val="24"/>
          <w:szCs w:val="24"/>
          <w:lang w:val="pt-PT" w:eastAsia="pt-PT"/>
        </w:rPr>
        <w:t xml:space="preserve"> </w:t>
      </w:r>
      <w:proofErr w:type="spellStart"/>
      <w:r w:rsidRPr="00643A7B">
        <w:rPr>
          <w:rFonts w:eastAsia="Times New Roman" w:cstheme="minorHAnsi"/>
          <w:i/>
          <w:iCs/>
          <w:color w:val="222222"/>
          <w:sz w:val="24"/>
          <w:szCs w:val="24"/>
          <w:lang w:val="pt-PT" w:eastAsia="pt-PT"/>
        </w:rPr>
        <w:t>Immunology</w:t>
      </w:r>
      <w:proofErr w:type="spellEnd"/>
      <w:r>
        <w:rPr>
          <w:rFonts w:eastAsia="Times New Roman" w:cstheme="minorHAnsi"/>
          <w:color w:val="222222"/>
          <w:sz w:val="24"/>
          <w:szCs w:val="24"/>
          <w:lang w:val="pt-PT" w:eastAsia="pt-PT"/>
        </w:rPr>
        <w:t xml:space="preserve"> (</w:t>
      </w:r>
      <w:r w:rsidRPr="00643A7B">
        <w:rPr>
          <w:rFonts w:eastAsia="Times New Roman" w:cstheme="minorHAnsi"/>
          <w:color w:val="222222"/>
          <w:sz w:val="24"/>
          <w:szCs w:val="24"/>
          <w:lang w:val="pt-PT" w:eastAsia="pt-PT"/>
        </w:rPr>
        <w:t>http://immunology.sciencemag.org/content/3/24/eaan2543</w:t>
      </w:r>
      <w:r>
        <w:rPr>
          <w:rFonts w:eastAsia="Times New Roman" w:cstheme="minorHAnsi"/>
          <w:color w:val="222222"/>
          <w:sz w:val="24"/>
          <w:szCs w:val="24"/>
          <w:lang w:val="pt-PT" w:eastAsia="pt-PT"/>
        </w:rPr>
        <w:t>)</w:t>
      </w:r>
      <w:r w:rsidRPr="00643A7B">
        <w:rPr>
          <w:rFonts w:eastAsia="Times New Roman" w:cstheme="minorHAnsi"/>
          <w:color w:val="222222"/>
          <w:sz w:val="24"/>
          <w:szCs w:val="24"/>
          <w:lang w:val="pt-PT" w:eastAsia="pt-PT"/>
        </w:rPr>
        <w:t>, revela que as “baterias” destas células têm uma composição diferente, o que reduz a sua capacidade de produzir energia, mantendo-as num modo de ativação controlada. Este conhecimento pode dar origem a novas ferramentas de diagnósticos e tratamentos para condições que afetam a via digestiva, como inflamações intestinais ou infeções.</w:t>
      </w:r>
    </w:p>
    <w:p w14:paraId="71F3D5C6" w14:textId="77777777" w:rsidR="00643A7B" w:rsidRPr="00643A7B" w:rsidRDefault="00643A7B" w:rsidP="00643A7B">
      <w:pPr>
        <w:shd w:val="clear" w:color="auto" w:fill="FFFFFF"/>
        <w:spacing w:after="0" w:line="360" w:lineRule="auto"/>
        <w:jc w:val="both"/>
        <w:rPr>
          <w:rFonts w:eastAsia="Times New Roman" w:cstheme="minorHAnsi"/>
          <w:color w:val="222222"/>
          <w:sz w:val="24"/>
          <w:szCs w:val="24"/>
          <w:lang w:val="pt-PT" w:eastAsia="pt-PT"/>
        </w:rPr>
      </w:pPr>
      <w:r w:rsidRPr="00643A7B">
        <w:rPr>
          <w:rFonts w:eastAsia="Times New Roman" w:cstheme="minorHAnsi"/>
          <w:color w:val="222222"/>
          <w:sz w:val="24"/>
          <w:szCs w:val="24"/>
          <w:lang w:val="pt-PT" w:eastAsia="pt-PT"/>
        </w:rPr>
        <w:t xml:space="preserve">A camada externa de nossos corpos, a pele e o intestino, contém uma população especial de glóbulos brancos, chamados linfócitos </w:t>
      </w:r>
      <w:proofErr w:type="spellStart"/>
      <w:r w:rsidRPr="00643A7B">
        <w:rPr>
          <w:rFonts w:eastAsia="Times New Roman" w:cstheme="minorHAnsi"/>
          <w:color w:val="222222"/>
          <w:sz w:val="24"/>
          <w:szCs w:val="24"/>
          <w:lang w:val="pt-PT" w:eastAsia="pt-PT"/>
        </w:rPr>
        <w:t>intra-epiteliais</w:t>
      </w:r>
      <w:proofErr w:type="spellEnd"/>
      <w:r w:rsidRPr="00643A7B">
        <w:rPr>
          <w:rFonts w:eastAsia="Times New Roman" w:cstheme="minorHAnsi"/>
          <w:color w:val="222222"/>
          <w:sz w:val="24"/>
          <w:szCs w:val="24"/>
          <w:lang w:val="pt-PT" w:eastAsia="pt-PT"/>
        </w:rPr>
        <w:t xml:space="preserve">. É em grande parte desconhecido como a atividade destas células é controlada, não estando totalmente ativadas nem em repouso. Usando ensaios bioquímicos e de imagem, o grupo de investigação liderado por </w:t>
      </w:r>
      <w:proofErr w:type="spellStart"/>
      <w:r w:rsidRPr="00643A7B">
        <w:rPr>
          <w:rFonts w:eastAsia="Times New Roman" w:cstheme="minorHAnsi"/>
          <w:color w:val="222222"/>
          <w:sz w:val="24"/>
          <w:szCs w:val="24"/>
          <w:lang w:val="pt-PT" w:eastAsia="pt-PT"/>
        </w:rPr>
        <w:t>Marc</w:t>
      </w:r>
      <w:proofErr w:type="spellEnd"/>
      <w:r w:rsidRPr="00643A7B">
        <w:rPr>
          <w:rFonts w:eastAsia="Times New Roman" w:cstheme="minorHAnsi"/>
          <w:color w:val="222222"/>
          <w:sz w:val="24"/>
          <w:szCs w:val="24"/>
          <w:lang w:val="pt-PT" w:eastAsia="pt-PT"/>
        </w:rPr>
        <w:t xml:space="preserve"> </w:t>
      </w:r>
      <w:proofErr w:type="spellStart"/>
      <w:r w:rsidRPr="00643A7B">
        <w:rPr>
          <w:rFonts w:eastAsia="Times New Roman" w:cstheme="minorHAnsi"/>
          <w:color w:val="222222"/>
          <w:sz w:val="24"/>
          <w:szCs w:val="24"/>
          <w:lang w:val="pt-PT" w:eastAsia="pt-PT"/>
        </w:rPr>
        <w:t>Veldhoen</w:t>
      </w:r>
      <w:proofErr w:type="spellEnd"/>
      <w:r w:rsidRPr="00643A7B">
        <w:rPr>
          <w:rFonts w:eastAsia="Times New Roman" w:cstheme="minorHAnsi"/>
          <w:color w:val="222222"/>
          <w:sz w:val="24"/>
          <w:szCs w:val="24"/>
          <w:lang w:val="pt-PT" w:eastAsia="pt-PT"/>
        </w:rPr>
        <w:t xml:space="preserve"> mostrou agora que isso se deve, pelo menos em parte, às diferenças nas “baterias” das células – as mitocôndrias. Estas estruturas estão presentes dentro das nossas células e têm como função a produção de energia, regulando a “potência” da célula. “Nós colocámos a hipótese de que estes glóbulos brancos do intestino podiam usar energia de uma maneira diferente. Foi surpreendente ver que a deteção das mitocôndrias é muito diferente do que se observa noutros glóbulos brancos, estando esta observação na base de uma nova hipótese de que as próprias mitocôndrias são diferentes nestas células”, explica </w:t>
      </w:r>
      <w:proofErr w:type="spellStart"/>
      <w:r w:rsidRPr="00643A7B">
        <w:rPr>
          <w:rFonts w:eastAsia="Times New Roman" w:cstheme="minorHAnsi"/>
          <w:color w:val="222222"/>
          <w:sz w:val="24"/>
          <w:szCs w:val="24"/>
          <w:lang w:val="pt-PT" w:eastAsia="pt-PT"/>
        </w:rPr>
        <w:t>Marc</w:t>
      </w:r>
      <w:proofErr w:type="spellEnd"/>
      <w:r w:rsidRPr="00643A7B">
        <w:rPr>
          <w:rFonts w:eastAsia="Times New Roman" w:cstheme="minorHAnsi"/>
          <w:color w:val="222222"/>
          <w:sz w:val="24"/>
          <w:szCs w:val="24"/>
          <w:lang w:val="pt-PT" w:eastAsia="pt-PT"/>
        </w:rPr>
        <w:t xml:space="preserve"> </w:t>
      </w:r>
      <w:proofErr w:type="spellStart"/>
      <w:r w:rsidRPr="00643A7B">
        <w:rPr>
          <w:rFonts w:eastAsia="Times New Roman" w:cstheme="minorHAnsi"/>
          <w:color w:val="222222"/>
          <w:sz w:val="24"/>
          <w:szCs w:val="24"/>
          <w:lang w:val="pt-PT" w:eastAsia="pt-PT"/>
        </w:rPr>
        <w:t>Veldhoen</w:t>
      </w:r>
      <w:proofErr w:type="spellEnd"/>
      <w:r w:rsidRPr="00643A7B">
        <w:rPr>
          <w:rFonts w:eastAsia="Times New Roman" w:cstheme="minorHAnsi"/>
          <w:color w:val="222222"/>
          <w:sz w:val="24"/>
          <w:szCs w:val="24"/>
          <w:lang w:val="pt-PT" w:eastAsia="pt-PT"/>
        </w:rPr>
        <w:t>.</w:t>
      </w:r>
    </w:p>
    <w:p w14:paraId="325D0BB6" w14:textId="77777777" w:rsidR="00643A7B" w:rsidRPr="00643A7B" w:rsidRDefault="00643A7B" w:rsidP="00643A7B">
      <w:pPr>
        <w:shd w:val="clear" w:color="auto" w:fill="FFFFFF"/>
        <w:spacing w:after="0" w:line="360" w:lineRule="auto"/>
        <w:jc w:val="both"/>
        <w:rPr>
          <w:rFonts w:eastAsia="Times New Roman" w:cstheme="minorHAnsi"/>
          <w:color w:val="222222"/>
          <w:sz w:val="24"/>
          <w:szCs w:val="24"/>
          <w:lang w:val="pt-PT" w:eastAsia="pt-PT"/>
        </w:rPr>
      </w:pPr>
      <w:r w:rsidRPr="00643A7B">
        <w:rPr>
          <w:rFonts w:eastAsia="Times New Roman" w:cstheme="minorHAnsi"/>
          <w:color w:val="222222"/>
          <w:sz w:val="24"/>
          <w:szCs w:val="24"/>
          <w:lang w:val="pt-PT" w:eastAsia="pt-PT"/>
        </w:rPr>
        <w:lastRenderedPageBreak/>
        <w:t xml:space="preserve">Através da grande ampliação obtida com a microscopia eletrónica, os investigadores observaram que as mitocôndrias estavam presentes em abundância nestas células, mas pareciam ser diferentes quando estavam especificamente marcadas em ensaios de imagiologia. A seguir, os investigadores estudaram a funcionalidade dessas baterias. “Quando analisámos detalhadamente essas estruturas, encontrámos alterações nos lípidos que formam uma camada que separa as mitocôndrias do resto da célula”, diz </w:t>
      </w:r>
      <w:proofErr w:type="spellStart"/>
      <w:r w:rsidRPr="00643A7B">
        <w:rPr>
          <w:rFonts w:eastAsia="Times New Roman" w:cstheme="minorHAnsi"/>
          <w:color w:val="222222"/>
          <w:sz w:val="24"/>
          <w:szCs w:val="24"/>
          <w:lang w:val="pt-PT" w:eastAsia="pt-PT"/>
        </w:rPr>
        <w:t>Špela</w:t>
      </w:r>
      <w:proofErr w:type="spellEnd"/>
      <w:r w:rsidRPr="00643A7B">
        <w:rPr>
          <w:rFonts w:eastAsia="Times New Roman" w:cstheme="minorHAnsi"/>
          <w:color w:val="222222"/>
          <w:sz w:val="24"/>
          <w:szCs w:val="24"/>
          <w:lang w:val="pt-PT" w:eastAsia="pt-PT"/>
        </w:rPr>
        <w:t xml:space="preserve"> </w:t>
      </w:r>
      <w:proofErr w:type="spellStart"/>
      <w:r w:rsidRPr="00643A7B">
        <w:rPr>
          <w:rFonts w:eastAsia="Times New Roman" w:cstheme="minorHAnsi"/>
          <w:color w:val="222222"/>
          <w:sz w:val="24"/>
          <w:szCs w:val="24"/>
          <w:lang w:val="pt-PT" w:eastAsia="pt-PT"/>
        </w:rPr>
        <w:t>Konjar</w:t>
      </w:r>
      <w:proofErr w:type="spellEnd"/>
      <w:r w:rsidRPr="00643A7B">
        <w:rPr>
          <w:rFonts w:eastAsia="Times New Roman" w:cstheme="minorHAnsi"/>
          <w:color w:val="222222"/>
          <w:sz w:val="24"/>
          <w:szCs w:val="24"/>
          <w:lang w:val="pt-PT" w:eastAsia="pt-PT"/>
        </w:rPr>
        <w:t>, primeira autora do estudo, acrescentando que “essas mudanças fazem com que esta “baterias” funcionem de forma diferente, como se estivessem num “modo de baixa energia”.</w:t>
      </w:r>
    </w:p>
    <w:p w14:paraId="3697057B" w14:textId="77777777" w:rsidR="00643A7B" w:rsidRPr="00643A7B" w:rsidRDefault="00643A7B" w:rsidP="00643A7B">
      <w:pPr>
        <w:shd w:val="clear" w:color="auto" w:fill="FFFFFF"/>
        <w:spacing w:after="0" w:line="360" w:lineRule="auto"/>
        <w:jc w:val="both"/>
        <w:rPr>
          <w:rFonts w:eastAsia="Times New Roman" w:cstheme="minorHAnsi"/>
          <w:color w:val="222222"/>
          <w:sz w:val="24"/>
          <w:szCs w:val="24"/>
          <w:lang w:val="pt-PT" w:eastAsia="pt-PT"/>
        </w:rPr>
      </w:pPr>
      <w:r w:rsidRPr="00643A7B">
        <w:rPr>
          <w:rFonts w:eastAsia="Times New Roman" w:cstheme="minorHAnsi"/>
          <w:color w:val="222222"/>
          <w:sz w:val="24"/>
          <w:szCs w:val="24"/>
          <w:lang w:val="pt-PT" w:eastAsia="pt-PT"/>
        </w:rPr>
        <w:t xml:space="preserve">Quando os investigadores alteraram a disposição lipídica confirmaram uma mudança na ativação das células. “Os nossos resultados mostram que os lípidos nestas mitocôndrias podem alterar o estado metabólico das células e com isso alterar a sua atividade. Quando estes lípidos não estão organizados da mesma forma que em outros glóbulos brancos do sangue, as células não podem ser ativadas adequadamente quando necessário”, explica </w:t>
      </w:r>
      <w:proofErr w:type="spellStart"/>
      <w:r w:rsidRPr="00643A7B">
        <w:rPr>
          <w:rFonts w:eastAsia="Times New Roman" w:cstheme="minorHAnsi"/>
          <w:color w:val="222222"/>
          <w:sz w:val="24"/>
          <w:szCs w:val="24"/>
          <w:lang w:val="pt-PT" w:eastAsia="pt-PT"/>
        </w:rPr>
        <w:t>Marc</w:t>
      </w:r>
      <w:proofErr w:type="spellEnd"/>
      <w:r w:rsidRPr="00643A7B">
        <w:rPr>
          <w:rFonts w:eastAsia="Times New Roman" w:cstheme="minorHAnsi"/>
          <w:color w:val="222222"/>
          <w:sz w:val="24"/>
          <w:szCs w:val="24"/>
          <w:lang w:val="pt-PT" w:eastAsia="pt-PT"/>
        </w:rPr>
        <w:t xml:space="preserve"> </w:t>
      </w:r>
      <w:proofErr w:type="spellStart"/>
      <w:r w:rsidRPr="00643A7B">
        <w:rPr>
          <w:rFonts w:eastAsia="Times New Roman" w:cstheme="minorHAnsi"/>
          <w:color w:val="222222"/>
          <w:sz w:val="24"/>
          <w:szCs w:val="24"/>
          <w:lang w:val="pt-PT" w:eastAsia="pt-PT"/>
        </w:rPr>
        <w:t>Veldhoen</w:t>
      </w:r>
      <w:proofErr w:type="spellEnd"/>
      <w:r w:rsidRPr="00643A7B">
        <w:rPr>
          <w:rFonts w:eastAsia="Times New Roman" w:cstheme="minorHAnsi"/>
          <w:color w:val="222222"/>
          <w:sz w:val="24"/>
          <w:szCs w:val="24"/>
          <w:lang w:val="pt-PT" w:eastAsia="pt-PT"/>
        </w:rPr>
        <w:t>. O investigador explica ainda: “Este conhecimento permite-nos investigar de que forma podemos inibir essas células quando estão muito ativas e causam danos, como nas inflamações intestinais, ou como podemos ativá-las mais em casos de infeções intestinais. Além disso, a deteção de mitocôndrias pode ser um marcador de diagnóstico para o estado de ativação dos glóbulos brancos intestinais.”</w:t>
      </w:r>
    </w:p>
    <w:p w14:paraId="5ABA1AA5" w14:textId="64F101B3" w:rsidR="00643A7B" w:rsidRPr="00643A7B" w:rsidRDefault="00643A7B" w:rsidP="00643A7B">
      <w:pPr>
        <w:shd w:val="clear" w:color="auto" w:fill="FFFFFF"/>
        <w:spacing w:after="0" w:line="360" w:lineRule="auto"/>
        <w:jc w:val="both"/>
        <w:rPr>
          <w:rFonts w:eastAsia="Times New Roman" w:cstheme="minorHAnsi"/>
          <w:color w:val="222222"/>
          <w:sz w:val="24"/>
          <w:szCs w:val="24"/>
          <w:lang w:val="pt-PT" w:eastAsia="pt-PT"/>
        </w:rPr>
      </w:pPr>
      <w:r w:rsidRPr="00643A7B">
        <w:rPr>
          <w:rFonts w:eastAsia="Times New Roman" w:cstheme="minorHAnsi"/>
          <w:color w:val="222222"/>
          <w:sz w:val="24"/>
          <w:szCs w:val="24"/>
          <w:lang w:val="pt-BR" w:eastAsia="pt-PT"/>
        </w:rPr>
        <w:t>Este trabalho foi realizado no</w:t>
      </w:r>
      <w:r>
        <w:rPr>
          <w:rFonts w:eastAsia="Times New Roman" w:cstheme="minorHAnsi"/>
          <w:color w:val="222222"/>
          <w:sz w:val="24"/>
          <w:szCs w:val="24"/>
          <w:lang w:val="pt-BR" w:eastAsia="pt-PT"/>
        </w:rPr>
        <w:t xml:space="preserve"> </w:t>
      </w:r>
      <w:proofErr w:type="spellStart"/>
      <w:r w:rsidRPr="00643A7B">
        <w:rPr>
          <w:rFonts w:eastAsia="Times New Roman" w:cstheme="minorHAnsi"/>
          <w:color w:val="222222"/>
          <w:sz w:val="24"/>
          <w:szCs w:val="24"/>
          <w:lang w:val="pt-PT" w:eastAsia="pt-PT"/>
        </w:rPr>
        <w:t>iMM</w:t>
      </w:r>
      <w:proofErr w:type="spellEnd"/>
      <w:r w:rsidRPr="00643A7B">
        <w:rPr>
          <w:rFonts w:eastAsia="Times New Roman" w:cstheme="minorHAnsi"/>
          <w:color w:val="222222"/>
          <w:sz w:val="24"/>
          <w:szCs w:val="24"/>
          <w:lang w:val="pt-PT" w:eastAsia="pt-PT"/>
        </w:rPr>
        <w:t xml:space="preserve"> (Portugal) e no </w:t>
      </w:r>
      <w:proofErr w:type="spellStart"/>
      <w:r w:rsidRPr="00643A7B">
        <w:rPr>
          <w:rFonts w:eastAsia="Times New Roman" w:cstheme="minorHAnsi"/>
          <w:color w:val="222222"/>
          <w:sz w:val="24"/>
          <w:szCs w:val="24"/>
          <w:lang w:val="pt-PT" w:eastAsia="pt-PT"/>
        </w:rPr>
        <w:t>Babraham</w:t>
      </w:r>
      <w:proofErr w:type="spellEnd"/>
      <w:r w:rsidRPr="00643A7B">
        <w:rPr>
          <w:rFonts w:eastAsia="Times New Roman" w:cstheme="minorHAnsi"/>
          <w:color w:val="222222"/>
          <w:sz w:val="24"/>
          <w:szCs w:val="24"/>
          <w:lang w:val="pt-PT" w:eastAsia="pt-PT"/>
        </w:rPr>
        <w:t xml:space="preserve"> </w:t>
      </w:r>
      <w:proofErr w:type="spellStart"/>
      <w:r w:rsidRPr="00643A7B">
        <w:rPr>
          <w:rFonts w:eastAsia="Times New Roman" w:cstheme="minorHAnsi"/>
          <w:color w:val="222222"/>
          <w:sz w:val="24"/>
          <w:szCs w:val="24"/>
          <w:lang w:val="pt-PT" w:eastAsia="pt-PT"/>
        </w:rPr>
        <w:t>Institute</w:t>
      </w:r>
      <w:proofErr w:type="spellEnd"/>
      <w:r w:rsidRPr="00643A7B">
        <w:rPr>
          <w:rFonts w:eastAsia="Times New Roman" w:cstheme="minorHAnsi"/>
          <w:color w:val="222222"/>
          <w:sz w:val="24"/>
          <w:szCs w:val="24"/>
          <w:lang w:val="pt-PT" w:eastAsia="pt-PT"/>
        </w:rPr>
        <w:t xml:space="preserve"> (Reino Unido) com colaborações da </w:t>
      </w:r>
      <w:proofErr w:type="spellStart"/>
      <w:r w:rsidRPr="00643A7B">
        <w:rPr>
          <w:rFonts w:eastAsia="Times New Roman" w:cstheme="minorHAnsi"/>
          <w:color w:val="222222"/>
          <w:sz w:val="24"/>
          <w:szCs w:val="24"/>
          <w:lang w:val="pt-PT" w:eastAsia="pt-PT"/>
        </w:rPr>
        <w:t>University</w:t>
      </w:r>
      <w:proofErr w:type="spellEnd"/>
      <w:r w:rsidRPr="00643A7B">
        <w:rPr>
          <w:rFonts w:eastAsia="Times New Roman" w:cstheme="minorHAnsi"/>
          <w:color w:val="222222"/>
          <w:sz w:val="24"/>
          <w:szCs w:val="24"/>
          <w:lang w:val="pt-PT" w:eastAsia="pt-PT"/>
        </w:rPr>
        <w:t xml:space="preserve"> </w:t>
      </w:r>
      <w:proofErr w:type="spellStart"/>
      <w:r w:rsidRPr="00643A7B">
        <w:rPr>
          <w:rFonts w:eastAsia="Times New Roman" w:cstheme="minorHAnsi"/>
          <w:color w:val="222222"/>
          <w:sz w:val="24"/>
          <w:szCs w:val="24"/>
          <w:lang w:val="pt-PT" w:eastAsia="pt-PT"/>
        </w:rPr>
        <w:t>of</w:t>
      </w:r>
      <w:proofErr w:type="spellEnd"/>
      <w:r w:rsidRPr="00643A7B">
        <w:rPr>
          <w:rFonts w:eastAsia="Times New Roman" w:cstheme="minorHAnsi"/>
          <w:color w:val="222222"/>
          <w:sz w:val="24"/>
          <w:szCs w:val="24"/>
          <w:lang w:val="pt-PT" w:eastAsia="pt-PT"/>
        </w:rPr>
        <w:t xml:space="preserve"> Chicago (EUA).</w:t>
      </w:r>
      <w:r>
        <w:rPr>
          <w:rFonts w:eastAsia="Times New Roman" w:cstheme="minorHAnsi"/>
          <w:color w:val="222222"/>
          <w:sz w:val="24"/>
          <w:szCs w:val="24"/>
          <w:lang w:val="pt-PT" w:eastAsia="pt-PT"/>
        </w:rPr>
        <w:t xml:space="preserve"> </w:t>
      </w:r>
      <w:r w:rsidRPr="00643A7B">
        <w:rPr>
          <w:rFonts w:eastAsia="Times New Roman" w:cstheme="minorHAnsi"/>
          <w:color w:val="222222"/>
          <w:sz w:val="24"/>
          <w:szCs w:val="24"/>
          <w:lang w:val="pt-BR" w:eastAsia="pt-PT"/>
        </w:rPr>
        <w:t>O estudo foi financiado pelo Conselho Europeu de Investigação (European Research Council, ERC), Biotechnology and Biological Sciences Research Council, National Institutes of Health (NIH, EUA), Horizon 2020 “EXCELLtoINNOV”, FEDER através do POR Lisboa 2020-Programa Operacional Regional de Lisboa, PORTUGAL 2020 e Fundação para a Ciência e a Tecnologia.</w:t>
      </w:r>
    </w:p>
    <w:p w14:paraId="3977C39D" w14:textId="3753B608" w:rsidR="00643A7B" w:rsidRPr="00503FEB" w:rsidRDefault="00643A7B" w:rsidP="00643A7B">
      <w:pPr>
        <w:spacing w:line="360" w:lineRule="auto"/>
        <w:rPr>
          <w:rFonts w:eastAsia="Times New Roman" w:cstheme="minorHAnsi"/>
          <w:color w:val="222222"/>
          <w:sz w:val="24"/>
          <w:szCs w:val="24"/>
          <w:lang w:val="pt-PT" w:eastAsia="pt-PT"/>
        </w:rPr>
      </w:pPr>
    </w:p>
    <w:p w14:paraId="217B1E02" w14:textId="7CA84242" w:rsidR="004544F9" w:rsidRPr="004544F9" w:rsidRDefault="004544F9" w:rsidP="004544F9">
      <w:pPr>
        <w:spacing w:line="360" w:lineRule="auto"/>
        <w:rPr>
          <w:rFonts w:eastAsia="Times New Roman" w:cstheme="minorHAnsi"/>
          <w:color w:val="222222"/>
          <w:sz w:val="24"/>
          <w:szCs w:val="24"/>
          <w:lang w:val="pt-PT" w:eastAsia="pt-PT"/>
        </w:rPr>
      </w:pPr>
      <w:r w:rsidRPr="004544F9">
        <w:rPr>
          <w:rFonts w:eastAsia="Times New Roman" w:cstheme="minorHAnsi"/>
          <w:color w:val="222222"/>
          <w:sz w:val="24"/>
          <w:szCs w:val="24"/>
          <w:lang w:val="pt-PT" w:eastAsia="pt-PT"/>
        </w:rPr>
        <w:t>Legenda</w:t>
      </w:r>
      <w:r>
        <w:rPr>
          <w:rFonts w:eastAsia="Times New Roman" w:cstheme="minorHAnsi"/>
          <w:color w:val="222222"/>
          <w:sz w:val="24"/>
          <w:szCs w:val="24"/>
          <w:lang w:val="pt-PT" w:eastAsia="pt-PT"/>
        </w:rPr>
        <w:t xml:space="preserve"> da imagem anexa</w:t>
      </w:r>
      <w:r w:rsidRPr="004544F9">
        <w:rPr>
          <w:rFonts w:eastAsia="Times New Roman" w:cstheme="minorHAnsi"/>
          <w:color w:val="222222"/>
          <w:sz w:val="24"/>
          <w:szCs w:val="24"/>
          <w:lang w:val="pt-PT" w:eastAsia="pt-PT"/>
        </w:rPr>
        <w:t>: Nos glóbulos brancos circulantes (à esquerda) as “baterias” ou mitocôndrias (</w:t>
      </w:r>
      <w:r>
        <w:rPr>
          <w:rFonts w:eastAsia="Times New Roman" w:cstheme="minorHAnsi"/>
          <w:color w:val="222222"/>
          <w:sz w:val="24"/>
          <w:szCs w:val="24"/>
          <w:lang w:val="pt-PT" w:eastAsia="pt-PT"/>
        </w:rPr>
        <w:t xml:space="preserve">a </w:t>
      </w:r>
      <w:r w:rsidRPr="004544F9">
        <w:rPr>
          <w:rFonts w:eastAsia="Times New Roman" w:cstheme="minorHAnsi"/>
          <w:color w:val="222222"/>
          <w:sz w:val="24"/>
          <w:szCs w:val="24"/>
          <w:lang w:val="pt-PT" w:eastAsia="pt-PT"/>
        </w:rPr>
        <w:t>verde) têm um sinal mais intenso - quando comparadas com as mitocôndrias dos glóbulos</w:t>
      </w:r>
      <w:r>
        <w:rPr>
          <w:rFonts w:eastAsia="Times New Roman" w:cstheme="minorHAnsi"/>
          <w:color w:val="222222"/>
          <w:sz w:val="24"/>
          <w:szCs w:val="24"/>
          <w:lang w:val="pt-PT" w:eastAsia="pt-PT"/>
        </w:rPr>
        <w:t xml:space="preserve"> </w:t>
      </w:r>
      <w:r w:rsidRPr="004544F9">
        <w:rPr>
          <w:rFonts w:eastAsia="Times New Roman" w:cstheme="minorHAnsi"/>
          <w:color w:val="222222"/>
          <w:sz w:val="24"/>
          <w:szCs w:val="24"/>
          <w:lang w:val="pt-PT" w:eastAsia="pt-PT"/>
        </w:rPr>
        <w:t>brancos do intestino que são “baterias mais fracas” (à direita). A azul estão marcados os</w:t>
      </w:r>
      <w:r>
        <w:rPr>
          <w:rFonts w:eastAsia="Times New Roman" w:cstheme="minorHAnsi"/>
          <w:color w:val="222222"/>
          <w:sz w:val="24"/>
          <w:szCs w:val="24"/>
          <w:lang w:val="pt-PT" w:eastAsia="pt-PT"/>
        </w:rPr>
        <w:t xml:space="preserve"> </w:t>
      </w:r>
      <w:r w:rsidRPr="004544F9">
        <w:rPr>
          <w:rFonts w:eastAsia="Times New Roman" w:cstheme="minorHAnsi"/>
          <w:color w:val="222222"/>
          <w:sz w:val="24"/>
          <w:szCs w:val="24"/>
          <w:lang w:val="pt-PT" w:eastAsia="pt-PT"/>
        </w:rPr>
        <w:t xml:space="preserve">núcleos das células. Créditos: </w:t>
      </w:r>
      <w:proofErr w:type="spellStart"/>
      <w:r w:rsidRPr="004544F9">
        <w:rPr>
          <w:rFonts w:eastAsia="Times New Roman" w:cstheme="minorHAnsi"/>
          <w:color w:val="222222"/>
          <w:sz w:val="24"/>
          <w:szCs w:val="24"/>
          <w:lang w:val="pt-PT" w:eastAsia="pt-PT"/>
        </w:rPr>
        <w:t>Špela</w:t>
      </w:r>
      <w:proofErr w:type="spellEnd"/>
      <w:r w:rsidRPr="004544F9">
        <w:rPr>
          <w:rFonts w:eastAsia="Times New Roman" w:cstheme="minorHAnsi"/>
          <w:color w:val="222222"/>
          <w:sz w:val="24"/>
          <w:szCs w:val="24"/>
          <w:lang w:val="pt-PT" w:eastAsia="pt-PT"/>
        </w:rPr>
        <w:t xml:space="preserve"> </w:t>
      </w:r>
      <w:proofErr w:type="spellStart"/>
      <w:r w:rsidRPr="004544F9">
        <w:rPr>
          <w:rFonts w:eastAsia="Times New Roman" w:cstheme="minorHAnsi"/>
          <w:color w:val="222222"/>
          <w:sz w:val="24"/>
          <w:szCs w:val="24"/>
          <w:lang w:val="pt-PT" w:eastAsia="pt-PT"/>
        </w:rPr>
        <w:t>Konjar</w:t>
      </w:r>
      <w:proofErr w:type="spellEnd"/>
      <w:r w:rsidRPr="004544F9">
        <w:rPr>
          <w:rFonts w:eastAsia="Times New Roman" w:cstheme="minorHAnsi"/>
          <w:color w:val="222222"/>
          <w:sz w:val="24"/>
          <w:szCs w:val="24"/>
          <w:lang w:val="pt-PT" w:eastAsia="pt-PT"/>
        </w:rPr>
        <w:t xml:space="preserve">, </w:t>
      </w:r>
      <w:proofErr w:type="spellStart"/>
      <w:r w:rsidRPr="004544F9">
        <w:rPr>
          <w:rFonts w:eastAsia="Times New Roman" w:cstheme="minorHAnsi"/>
          <w:color w:val="222222"/>
          <w:sz w:val="24"/>
          <w:szCs w:val="24"/>
          <w:lang w:val="pt-PT" w:eastAsia="pt-PT"/>
        </w:rPr>
        <w:t>iMM</w:t>
      </w:r>
      <w:proofErr w:type="spellEnd"/>
      <w:r w:rsidRPr="004544F9">
        <w:rPr>
          <w:rFonts w:eastAsia="Times New Roman" w:cstheme="minorHAnsi"/>
          <w:color w:val="222222"/>
          <w:sz w:val="24"/>
          <w:szCs w:val="24"/>
          <w:lang w:val="pt-PT" w:eastAsia="pt-PT"/>
        </w:rPr>
        <w:t>.</w:t>
      </w:r>
    </w:p>
    <w:p w14:paraId="4C41225C" w14:textId="699F09CE" w:rsidR="00643A7B" w:rsidRDefault="00643A7B" w:rsidP="00643A7B">
      <w:pPr>
        <w:spacing w:line="360" w:lineRule="auto"/>
        <w:rPr>
          <w:rFonts w:cstheme="minorHAnsi"/>
          <w:sz w:val="24"/>
          <w:szCs w:val="24"/>
          <w:lang w:val="pt-PT"/>
        </w:rPr>
      </w:pPr>
      <w:r>
        <w:rPr>
          <w:rFonts w:cstheme="minorHAnsi"/>
          <w:sz w:val="24"/>
          <w:szCs w:val="24"/>
          <w:lang w:val="pt-PT"/>
        </w:rPr>
        <w:lastRenderedPageBreak/>
        <w:t xml:space="preserve">Inês Domingues – </w:t>
      </w:r>
      <w:r w:rsidR="00503FEB">
        <w:rPr>
          <w:rFonts w:cstheme="minorHAnsi"/>
          <w:sz w:val="24"/>
          <w:szCs w:val="24"/>
          <w:lang w:val="pt-PT"/>
        </w:rPr>
        <w:t>iMM</w:t>
      </w:r>
      <w:bookmarkStart w:id="0" w:name="_GoBack"/>
      <w:bookmarkEnd w:id="0"/>
    </w:p>
    <w:p w14:paraId="76E07E03" w14:textId="4F76D6CD" w:rsidR="00643A7B" w:rsidRPr="00643A7B" w:rsidRDefault="00643A7B" w:rsidP="00643A7B">
      <w:pPr>
        <w:spacing w:line="360" w:lineRule="auto"/>
        <w:rPr>
          <w:rFonts w:cstheme="minorHAnsi"/>
          <w:sz w:val="24"/>
          <w:szCs w:val="24"/>
          <w:lang w:val="pt-PT"/>
        </w:rPr>
      </w:pPr>
      <w:r>
        <w:rPr>
          <w:rFonts w:cstheme="minorHAnsi"/>
          <w:sz w:val="24"/>
          <w:szCs w:val="24"/>
          <w:lang w:val="pt-PT"/>
        </w:rPr>
        <w:t>Ciência na Imprensa Regional – Ciência Viva</w:t>
      </w:r>
    </w:p>
    <w:sectPr w:rsidR="00643A7B" w:rsidRPr="00643A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CC"/>
    <w:rsid w:val="002C2BE2"/>
    <w:rsid w:val="004544F9"/>
    <w:rsid w:val="00503FEB"/>
    <w:rsid w:val="00643A7B"/>
    <w:rsid w:val="00A309CC"/>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1D56"/>
  <w15:chartTrackingRefBased/>
  <w15:docId w15:val="{B00992A6-E4DA-4A45-BDCC-E3252E3F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643A7B"/>
    <w:rPr>
      <w:color w:val="0000FF"/>
      <w:u w:val="single"/>
    </w:rPr>
  </w:style>
  <w:style w:type="character" w:styleId="MenoNoResolvida">
    <w:name w:val="Unresolved Mention"/>
    <w:basedOn w:val="Tipodeletrapredefinidodopargrafo"/>
    <w:uiPriority w:val="99"/>
    <w:semiHidden/>
    <w:unhideWhenUsed/>
    <w:rsid w:val="0064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mm.medicina.ulisboa.pt/pt/investigacao/laboratorios/veldhoen-marc-lab/"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3969</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2018-06-25T13:39:00Z</dcterms:created>
  <dcterms:modified xsi:type="dcterms:W3CDTF">2018-06-26T11:48:00Z</dcterms:modified>
</cp:coreProperties>
</file>