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CF" w:rsidRPr="00B840CF" w:rsidRDefault="00B840CF" w:rsidP="00B840CF">
      <w:pPr>
        <w:spacing w:line="360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b/>
          <w:lang w:val="pt-PT"/>
        </w:rPr>
        <w:t>I</w:t>
      </w:r>
      <w:r w:rsidRPr="00B840CF">
        <w:rPr>
          <w:rFonts w:asciiTheme="minorHAnsi" w:hAnsiTheme="minorHAnsi"/>
          <w:b/>
          <w:lang w:val="pt-PT"/>
        </w:rPr>
        <w:t>dentifica</w:t>
      </w:r>
      <w:r>
        <w:rPr>
          <w:rFonts w:asciiTheme="minorHAnsi" w:hAnsiTheme="minorHAnsi"/>
          <w:b/>
          <w:lang w:val="pt-PT"/>
        </w:rPr>
        <w:t>dos</w:t>
      </w:r>
      <w:r w:rsidRPr="00B840CF">
        <w:rPr>
          <w:rFonts w:asciiTheme="minorHAnsi" w:hAnsiTheme="minorHAnsi"/>
          <w:b/>
          <w:lang w:val="pt-PT"/>
        </w:rPr>
        <w:t xml:space="preserve"> </w:t>
      </w:r>
      <w:r w:rsidR="00DA71F4">
        <w:rPr>
          <w:rFonts w:asciiTheme="minorHAnsi" w:hAnsiTheme="minorHAnsi"/>
          <w:b/>
          <w:lang w:val="pt-PT"/>
        </w:rPr>
        <w:t>novos ‘sinalizadores’ da doença de</w:t>
      </w:r>
      <w:r w:rsidRPr="00B840CF">
        <w:rPr>
          <w:rFonts w:asciiTheme="minorHAnsi" w:hAnsiTheme="minorHAnsi"/>
          <w:b/>
          <w:lang w:val="pt-PT"/>
        </w:rPr>
        <w:t xml:space="preserve"> Alzheimer</w:t>
      </w:r>
    </w:p>
    <w:p w:rsidR="00386B99" w:rsidRPr="00B840CF" w:rsidRDefault="00DA71F4">
      <w:pPr>
        <w:rPr>
          <w:rFonts w:asciiTheme="minorHAnsi" w:hAnsiTheme="minorHAnsi"/>
          <w:lang w:val="pt-PT"/>
        </w:rPr>
      </w:pPr>
    </w:p>
    <w:p w:rsidR="00B840CF" w:rsidRPr="00B840CF" w:rsidRDefault="00B840CF" w:rsidP="00B840CF">
      <w:pPr>
        <w:spacing w:line="360" w:lineRule="auto"/>
        <w:jc w:val="both"/>
        <w:rPr>
          <w:rFonts w:asciiTheme="minorHAnsi" w:hAnsiTheme="minorHAnsi"/>
          <w:lang w:val="pt-PT"/>
        </w:rPr>
      </w:pPr>
      <w:r w:rsidRPr="00B840CF">
        <w:rPr>
          <w:rFonts w:asciiTheme="minorHAnsi" w:hAnsiTheme="minorHAnsi"/>
          <w:lang w:val="pt-PT"/>
        </w:rPr>
        <w:t xml:space="preserve">Uma equipa de investigadores do Centro de Neurociências e Biologia Celular (CNC) e da Faculdade de Medicina da Universidade de Coimbra (FMUC), liderada por Ana Cristina Rego, descobriu ‘sinalizadores’ biológicos sem células sanguíneas que poderão alertar precocemente para o surgimento da doença de Alzheimer. </w:t>
      </w:r>
    </w:p>
    <w:p w:rsidR="00B840CF" w:rsidRPr="00B840CF" w:rsidRDefault="00B840CF" w:rsidP="00B840CF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B840CF" w:rsidRPr="00B840CF" w:rsidRDefault="00B840CF" w:rsidP="00B840CF">
      <w:pPr>
        <w:spacing w:line="360" w:lineRule="auto"/>
        <w:jc w:val="both"/>
        <w:rPr>
          <w:rFonts w:asciiTheme="minorHAnsi" w:hAnsiTheme="minorHAnsi"/>
          <w:lang w:val="pt-PT"/>
        </w:rPr>
      </w:pPr>
      <w:r w:rsidRPr="00B840CF">
        <w:rPr>
          <w:rFonts w:asciiTheme="minorHAnsi" w:hAnsiTheme="minorHAnsi"/>
          <w:lang w:val="pt-PT"/>
        </w:rPr>
        <w:t xml:space="preserve">Antes do aparecimento da doença de Alzheimer ocorre a formação de radicais livres, moléculas que poderão conduzir à morte dos neurónios nesta doença. A investigação realizada mostra que os radicais livres ativam um ‘sinalizador’ biológico - uma proteína, designada Nrf2, que tem como função proteger as células dos radicais livres. </w:t>
      </w:r>
    </w:p>
    <w:p w:rsidR="00B840CF" w:rsidRPr="00B840CF" w:rsidRDefault="00B840CF" w:rsidP="00B840CF">
      <w:pPr>
        <w:spacing w:line="360" w:lineRule="auto"/>
        <w:jc w:val="both"/>
        <w:rPr>
          <w:rFonts w:asciiTheme="minorHAnsi" w:hAnsiTheme="minorHAnsi"/>
          <w:lang w:val="pt-PT"/>
        </w:rPr>
      </w:pPr>
      <w:r w:rsidRPr="00B840CF">
        <w:rPr>
          <w:rFonts w:asciiTheme="minorHAnsi" w:hAnsiTheme="minorHAnsi"/>
          <w:lang w:val="pt-PT"/>
        </w:rPr>
        <w:t xml:space="preserve">«A sinalização da proteína é mais evidente quando surgem as primeiras queixas de memória, numa etapa inicial da doença de Alzheimer. Para além disso, nesta fase aumenta a sinalização de ‘moléculas de stresse’ no ‘retículo endoplasmático’, um organelo celular com várias funções, nomeadamente na síntese de novas proteínas e nos processos de destoxificação celular», explica a coordenadora do estudo já publicado na revista </w:t>
      </w:r>
      <w:proofErr w:type="spellStart"/>
      <w:r w:rsidRPr="00B840CF">
        <w:rPr>
          <w:rFonts w:asciiTheme="minorHAnsi" w:hAnsiTheme="minorHAnsi"/>
          <w:lang w:val="pt-PT"/>
        </w:rPr>
        <w:t>Biochimica</w:t>
      </w:r>
      <w:proofErr w:type="spellEnd"/>
      <w:r w:rsidRPr="00B840CF">
        <w:rPr>
          <w:rFonts w:asciiTheme="minorHAnsi" w:hAnsiTheme="minorHAnsi"/>
          <w:lang w:val="pt-PT"/>
        </w:rPr>
        <w:t xml:space="preserve"> </w:t>
      </w:r>
      <w:proofErr w:type="spellStart"/>
      <w:r w:rsidRPr="00B840CF">
        <w:rPr>
          <w:rFonts w:asciiTheme="minorHAnsi" w:hAnsiTheme="minorHAnsi"/>
          <w:lang w:val="pt-PT"/>
        </w:rPr>
        <w:t>et</w:t>
      </w:r>
      <w:proofErr w:type="spellEnd"/>
      <w:r w:rsidRPr="00B840CF">
        <w:rPr>
          <w:rFonts w:asciiTheme="minorHAnsi" w:hAnsiTheme="minorHAnsi"/>
          <w:lang w:val="pt-PT"/>
        </w:rPr>
        <w:t xml:space="preserve"> </w:t>
      </w:r>
      <w:proofErr w:type="spellStart"/>
      <w:r w:rsidRPr="00B840CF">
        <w:rPr>
          <w:rFonts w:asciiTheme="minorHAnsi" w:hAnsiTheme="minorHAnsi"/>
          <w:lang w:val="pt-PT"/>
        </w:rPr>
        <w:t>Biophysica</w:t>
      </w:r>
      <w:proofErr w:type="spellEnd"/>
      <w:r w:rsidRPr="00B840CF">
        <w:rPr>
          <w:rFonts w:asciiTheme="minorHAnsi" w:hAnsiTheme="minorHAnsi"/>
          <w:lang w:val="pt-PT"/>
        </w:rPr>
        <w:t xml:space="preserve"> </w:t>
      </w:r>
      <w:proofErr w:type="spellStart"/>
      <w:r w:rsidRPr="00B840CF">
        <w:rPr>
          <w:rFonts w:asciiTheme="minorHAnsi" w:hAnsiTheme="minorHAnsi"/>
          <w:lang w:val="pt-PT"/>
        </w:rPr>
        <w:t>Acta</w:t>
      </w:r>
      <w:proofErr w:type="spellEnd"/>
      <w:r w:rsidRPr="00B840CF">
        <w:rPr>
          <w:rFonts w:asciiTheme="minorHAnsi" w:hAnsiTheme="minorHAnsi"/>
          <w:lang w:val="pt-PT"/>
        </w:rPr>
        <w:t xml:space="preserve"> (</w:t>
      </w:r>
      <w:proofErr w:type="gramStart"/>
      <w:r w:rsidRPr="00B840CF">
        <w:rPr>
          <w:rFonts w:asciiTheme="minorHAnsi" w:hAnsiTheme="minorHAnsi"/>
          <w:lang w:val="pt-PT"/>
        </w:rPr>
        <w:t>BBA)-</w:t>
      </w:r>
      <w:proofErr w:type="gramEnd"/>
      <w:r w:rsidRPr="00B840CF">
        <w:rPr>
          <w:rFonts w:asciiTheme="minorHAnsi" w:hAnsiTheme="minorHAnsi"/>
          <w:lang w:val="pt-PT"/>
        </w:rPr>
        <w:t xml:space="preserve"> Molecular </w:t>
      </w:r>
      <w:proofErr w:type="spellStart"/>
      <w:r w:rsidRPr="00B840CF">
        <w:rPr>
          <w:rFonts w:asciiTheme="minorHAnsi" w:hAnsiTheme="minorHAnsi"/>
          <w:lang w:val="pt-PT"/>
        </w:rPr>
        <w:t>Basis</w:t>
      </w:r>
      <w:proofErr w:type="spellEnd"/>
      <w:r w:rsidRPr="00B840CF">
        <w:rPr>
          <w:rFonts w:asciiTheme="minorHAnsi" w:hAnsiTheme="minorHAnsi"/>
          <w:lang w:val="pt-PT"/>
        </w:rPr>
        <w:t xml:space="preserve"> </w:t>
      </w:r>
      <w:proofErr w:type="spellStart"/>
      <w:r w:rsidRPr="00B840CF">
        <w:rPr>
          <w:rFonts w:asciiTheme="minorHAnsi" w:hAnsiTheme="minorHAnsi"/>
          <w:lang w:val="pt-PT"/>
        </w:rPr>
        <w:t>of</w:t>
      </w:r>
      <w:proofErr w:type="spellEnd"/>
      <w:r w:rsidRPr="00B840CF">
        <w:rPr>
          <w:rFonts w:asciiTheme="minorHAnsi" w:hAnsiTheme="minorHAnsi"/>
          <w:lang w:val="pt-PT"/>
        </w:rPr>
        <w:t xml:space="preserve"> </w:t>
      </w:r>
      <w:proofErr w:type="spellStart"/>
      <w:r w:rsidRPr="00B840CF">
        <w:rPr>
          <w:rFonts w:asciiTheme="minorHAnsi" w:hAnsiTheme="minorHAnsi"/>
          <w:lang w:val="pt-PT"/>
        </w:rPr>
        <w:t>Disease</w:t>
      </w:r>
      <w:proofErr w:type="spellEnd"/>
      <w:r w:rsidRPr="00B840CF">
        <w:rPr>
          <w:rFonts w:asciiTheme="minorHAnsi" w:hAnsiTheme="minorHAnsi"/>
          <w:lang w:val="pt-PT"/>
        </w:rPr>
        <w:t>.</w:t>
      </w:r>
    </w:p>
    <w:p w:rsidR="00B840CF" w:rsidRPr="00B840CF" w:rsidRDefault="00B840CF" w:rsidP="00B840CF">
      <w:pPr>
        <w:spacing w:line="360" w:lineRule="auto"/>
        <w:jc w:val="both"/>
        <w:rPr>
          <w:rFonts w:asciiTheme="minorHAnsi" w:hAnsiTheme="minorHAnsi"/>
          <w:lang w:val="pt-PT"/>
        </w:rPr>
      </w:pPr>
      <w:r w:rsidRPr="00B840CF">
        <w:rPr>
          <w:rFonts w:asciiTheme="minorHAnsi" w:hAnsiTheme="minorHAnsi"/>
          <w:lang w:val="pt-PT"/>
        </w:rPr>
        <w:t>O período que antecede a doença de Alzheimer trabalhado neste estudo, designado por Défice Cognitivo Ligeiro (DCL), situa-se entre os indivíduos cognitivamente saudáveis e os doentes com Alzheimer provável. Cerca de 10 a 20% das pessoas acima dos 65 anos de idade encontram-se nesta fase intermédia de DCL, e aproximadamente 15% irão progredir para um estado de demência anualmente.</w:t>
      </w:r>
    </w:p>
    <w:p w:rsidR="00B840CF" w:rsidRPr="00B840CF" w:rsidRDefault="00B840CF" w:rsidP="00B840CF">
      <w:pPr>
        <w:spacing w:line="360" w:lineRule="auto"/>
        <w:jc w:val="both"/>
        <w:rPr>
          <w:rFonts w:asciiTheme="minorHAnsi" w:hAnsiTheme="minorHAnsi"/>
          <w:lang w:val="pt-PT"/>
        </w:rPr>
      </w:pPr>
      <w:r w:rsidRPr="00B840CF">
        <w:rPr>
          <w:rFonts w:asciiTheme="minorHAnsi" w:hAnsiTheme="minorHAnsi"/>
          <w:lang w:val="pt-PT"/>
        </w:rPr>
        <w:t>Ana Cristina Rego salienta que «as alterações que ocorrem em indivíduos com DCL podem ser cruciais para se compreender o início dos processos de disfunção celular e morte neuronal na doença de Alzheimer, e auxiliar no desenvolvimento de novas estratégias terapêuticas capazes de impedir a progressão da doença.»</w:t>
      </w:r>
    </w:p>
    <w:p w:rsidR="00B840CF" w:rsidRPr="00B840CF" w:rsidRDefault="00B840CF" w:rsidP="00B840CF">
      <w:pPr>
        <w:spacing w:line="360" w:lineRule="auto"/>
        <w:jc w:val="both"/>
        <w:rPr>
          <w:rFonts w:asciiTheme="minorHAnsi" w:hAnsiTheme="minorHAnsi"/>
          <w:lang w:val="pt-PT"/>
        </w:rPr>
      </w:pPr>
      <w:r w:rsidRPr="00B840CF">
        <w:rPr>
          <w:rFonts w:asciiTheme="minorHAnsi" w:hAnsiTheme="minorHAnsi"/>
          <w:lang w:val="pt-PT"/>
        </w:rPr>
        <w:t xml:space="preserve">O trabalho experimental foi realizado em células do sangue humano, obtidas de pacientes com diferentes graus da doença e de pessoas saudáveis, para efeitos de comparação. Os investigadores utilizaram ainda amostras do córtex cerebral e células sanguíneas de um ratinho geneticamente modificado. </w:t>
      </w:r>
    </w:p>
    <w:p w:rsidR="00B840CF" w:rsidRPr="00B840CF" w:rsidRDefault="00B840CF" w:rsidP="00B840CF">
      <w:pPr>
        <w:spacing w:line="360" w:lineRule="auto"/>
        <w:jc w:val="both"/>
        <w:rPr>
          <w:rFonts w:asciiTheme="minorHAnsi" w:hAnsiTheme="minorHAnsi"/>
          <w:lang w:val="pt-PT"/>
        </w:rPr>
      </w:pPr>
      <w:r w:rsidRPr="00B840CF">
        <w:rPr>
          <w:rFonts w:asciiTheme="minorHAnsi" w:hAnsiTheme="minorHAnsi"/>
          <w:lang w:val="pt-PT"/>
        </w:rPr>
        <w:lastRenderedPageBreak/>
        <w:t>O estudo decorreu em estreita colaboração com investigadores de outro grupo do CNC e da FMUC, liderado por Cláudia Pereira, e com Isabel Santana, do serviço de neurologia do Centro Hospitalar e Universitário de Coimbra (CHUC) e da FMUC.</w:t>
      </w:r>
    </w:p>
    <w:p w:rsidR="00B840CF" w:rsidRPr="00B840CF" w:rsidRDefault="00B840CF" w:rsidP="00B840CF">
      <w:pPr>
        <w:spacing w:line="360" w:lineRule="auto"/>
        <w:jc w:val="both"/>
        <w:rPr>
          <w:rFonts w:asciiTheme="minorHAnsi" w:hAnsiTheme="minorHAnsi"/>
          <w:lang w:val="pt-PT"/>
        </w:rPr>
      </w:pPr>
      <w:bookmarkStart w:id="0" w:name="_GoBack"/>
      <w:bookmarkEnd w:id="0"/>
    </w:p>
    <w:p w:rsidR="00B840CF" w:rsidRPr="00B840CF" w:rsidRDefault="00B840CF" w:rsidP="00B840CF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B840CF" w:rsidRPr="00B840CF" w:rsidRDefault="00B840CF" w:rsidP="00B840CF">
      <w:pPr>
        <w:spacing w:line="360" w:lineRule="auto"/>
        <w:jc w:val="both"/>
        <w:rPr>
          <w:rFonts w:asciiTheme="minorHAnsi" w:hAnsiTheme="minorHAnsi"/>
          <w:lang w:val="pt-PT"/>
        </w:rPr>
      </w:pPr>
      <w:r w:rsidRPr="00B840CF">
        <w:rPr>
          <w:rFonts w:asciiTheme="minorHAnsi" w:hAnsiTheme="minorHAnsi"/>
          <w:lang w:val="pt-PT"/>
        </w:rPr>
        <w:t>Cristina Pinto (Assessoria de Imprensa - Universidade de Coimbra)</w:t>
      </w:r>
    </w:p>
    <w:p w:rsidR="00B840CF" w:rsidRPr="00B840CF" w:rsidRDefault="00B840CF" w:rsidP="00B840CF">
      <w:pPr>
        <w:spacing w:line="360" w:lineRule="auto"/>
        <w:jc w:val="both"/>
        <w:rPr>
          <w:rFonts w:asciiTheme="minorHAnsi" w:hAnsiTheme="minorHAnsi"/>
          <w:lang w:val="pt-PT"/>
        </w:rPr>
      </w:pPr>
      <w:r w:rsidRPr="00B840CF">
        <w:rPr>
          <w:rFonts w:asciiTheme="minorHAnsi" w:hAnsiTheme="minorHAnsi"/>
          <w:lang w:val="pt-PT"/>
        </w:rPr>
        <w:t>Ciência na Imprensa Regional – Ciência Viva</w:t>
      </w:r>
    </w:p>
    <w:sectPr w:rsidR="00B840CF" w:rsidRPr="00B840CF" w:rsidSect="00341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B840CF"/>
    <w:rsid w:val="00341F81"/>
    <w:rsid w:val="00362D13"/>
    <w:rsid w:val="00943EA8"/>
    <w:rsid w:val="00B840CF"/>
    <w:rsid w:val="00DA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0CF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2138</Characters>
  <Application>Microsoft Office Word</Application>
  <DocSecurity>0</DocSecurity>
  <Lines>17</Lines>
  <Paragraphs>5</Paragraphs>
  <ScaleCrop>false</ScaleCrop>
  <Company>PERSONAL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2015-09-14T11:55:00Z</dcterms:created>
  <dcterms:modified xsi:type="dcterms:W3CDTF">2015-09-14T12:01:00Z</dcterms:modified>
</cp:coreProperties>
</file>