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6C7A35" w:rsidRDefault="006C7A35">
      <w:pPr>
        <w:rPr>
          <w:rFonts w:cs="Arial"/>
          <w:b/>
          <w:bCs/>
          <w:color w:val="222222"/>
          <w:sz w:val="28"/>
          <w:szCs w:val="28"/>
          <w:shd w:val="clear" w:color="auto" w:fill="FFFFFF"/>
        </w:rPr>
      </w:pPr>
      <w:r w:rsidRPr="006C7A35">
        <w:rPr>
          <w:rFonts w:cs="Arial"/>
          <w:b/>
          <w:bCs/>
          <w:color w:val="222222"/>
          <w:sz w:val="28"/>
          <w:szCs w:val="28"/>
          <w:shd w:val="clear" w:color="auto" w:fill="FFFFFF"/>
        </w:rPr>
        <w:t>A gordura também tem nervos</w:t>
      </w:r>
    </w:p>
    <w:p w:rsidR="006C7A35" w:rsidRDefault="006C7A35">
      <w:pPr>
        <w:rPr>
          <w:rFonts w:ascii="Arial" w:hAnsi="Arial" w:cs="Arial"/>
          <w:b/>
          <w:bCs/>
          <w:color w:val="222222"/>
          <w:sz w:val="27"/>
          <w:szCs w:val="27"/>
          <w:shd w:val="clear" w:color="auto" w:fill="FFFFFF"/>
        </w:rPr>
      </w:pPr>
    </w:p>
    <w:p w:rsidR="006C7A35" w:rsidRPr="00B8300D" w:rsidRDefault="00B8300D" w:rsidP="006C7A35">
      <w:pPr>
        <w:shd w:val="clear" w:color="auto" w:fill="FFFFFF"/>
        <w:spacing w:after="0" w:line="240" w:lineRule="auto"/>
        <w:jc w:val="both"/>
        <w:rPr>
          <w:rFonts w:eastAsia="Times New Roman" w:cs="Arial"/>
          <w:sz w:val="24"/>
          <w:szCs w:val="24"/>
          <w:lang w:eastAsia="pt-PT"/>
        </w:rPr>
      </w:pPr>
      <w:r w:rsidRPr="00B8300D">
        <w:rPr>
          <w:rFonts w:cs="Arial"/>
          <w:sz w:val="24"/>
          <w:szCs w:val="24"/>
          <w:shd w:val="clear" w:color="auto" w:fill="FFFFFF"/>
        </w:rPr>
        <w:t>Um novo estudo mostra que o tecido gordo é inervado e que a estimulação direta destes neurónios leva à degradação da gordura.</w:t>
      </w:r>
    </w:p>
    <w:p w:rsidR="00B8300D" w:rsidRPr="00B8300D" w:rsidRDefault="00B8300D" w:rsidP="006C7A35">
      <w:pPr>
        <w:shd w:val="clear" w:color="auto" w:fill="FFFFFF"/>
        <w:spacing w:after="0" w:line="240" w:lineRule="auto"/>
        <w:jc w:val="both"/>
        <w:rPr>
          <w:rFonts w:eastAsia="Times New Roman" w:cs="Arial"/>
          <w:sz w:val="24"/>
          <w:szCs w:val="24"/>
          <w:lang w:eastAsia="pt-PT"/>
        </w:rPr>
      </w:pPr>
    </w:p>
    <w:p w:rsidR="006C7A35" w:rsidRPr="006C7A35"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 xml:space="preserve">Um estudo pioneiro liderado por Ana Domingos do Instituto Gulbenkian de Ciência (IGC; Oeiras, Portugal), em colaboração com o grupo de </w:t>
      </w:r>
      <w:proofErr w:type="spellStart"/>
      <w:r w:rsidRPr="006C7A35">
        <w:rPr>
          <w:rFonts w:eastAsia="Times New Roman" w:cs="Arial"/>
          <w:sz w:val="24"/>
          <w:szCs w:val="24"/>
          <w:lang w:eastAsia="pt-PT"/>
        </w:rPr>
        <w:t>Jeffrey</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Friedman</w:t>
      </w:r>
      <w:proofErr w:type="spellEnd"/>
      <w:r w:rsidRPr="006C7A35">
        <w:rPr>
          <w:rFonts w:eastAsia="Times New Roman" w:cs="Arial"/>
          <w:sz w:val="24"/>
          <w:szCs w:val="24"/>
          <w:lang w:eastAsia="pt-PT"/>
        </w:rPr>
        <w:t xml:space="preserve"> na Universidade de </w:t>
      </w:r>
      <w:proofErr w:type="spellStart"/>
      <w:r w:rsidRPr="006C7A35">
        <w:rPr>
          <w:rFonts w:eastAsia="Times New Roman" w:cs="Arial"/>
          <w:sz w:val="24"/>
          <w:szCs w:val="24"/>
          <w:lang w:eastAsia="pt-PT"/>
        </w:rPr>
        <w:t>Rockefeller</w:t>
      </w:r>
      <w:proofErr w:type="spellEnd"/>
      <w:r w:rsidRPr="006C7A35">
        <w:rPr>
          <w:rFonts w:eastAsia="Times New Roman" w:cs="Arial"/>
          <w:sz w:val="24"/>
          <w:szCs w:val="24"/>
          <w:lang w:eastAsia="pt-PT"/>
        </w:rPr>
        <w:t xml:space="preserve"> (EUA), mostra que o tecido gordo é inervado e que a estimulação direta destes neurónios leva à degradação da gordura. Estes resultados, publicados na última edição da prestigiada revista</w:t>
      </w:r>
      <w:r w:rsidRPr="00B8300D">
        <w:rPr>
          <w:rFonts w:eastAsia="Times New Roman" w:cs="Arial"/>
          <w:sz w:val="24"/>
          <w:szCs w:val="24"/>
          <w:lang w:eastAsia="pt-PT"/>
        </w:rPr>
        <w:t xml:space="preserve"> </w:t>
      </w:r>
      <w:proofErr w:type="spellStart"/>
      <w:r w:rsidRPr="006C7A35">
        <w:rPr>
          <w:rFonts w:eastAsia="Times New Roman" w:cs="Arial"/>
          <w:i/>
          <w:iCs/>
          <w:sz w:val="24"/>
          <w:szCs w:val="24"/>
          <w:lang w:eastAsia="pt-PT"/>
        </w:rPr>
        <w:t>Cell</w:t>
      </w:r>
      <w:proofErr w:type="spellEnd"/>
      <w:r w:rsidRPr="006C7A35">
        <w:rPr>
          <w:rFonts w:eastAsia="Times New Roman" w:cs="Arial"/>
          <w:sz w:val="24"/>
          <w:szCs w:val="24"/>
          <w:lang w:eastAsia="pt-PT"/>
        </w:rPr>
        <w:t xml:space="preserve">, abrem as portas para o desenvolvimento de novas terapias </w:t>
      </w:r>
      <w:proofErr w:type="spellStart"/>
      <w:r w:rsidRPr="006C7A35">
        <w:rPr>
          <w:rFonts w:eastAsia="Times New Roman" w:cs="Arial"/>
          <w:sz w:val="24"/>
          <w:szCs w:val="24"/>
          <w:lang w:eastAsia="pt-PT"/>
        </w:rPr>
        <w:t>anti-obesidade</w:t>
      </w:r>
      <w:proofErr w:type="spellEnd"/>
      <w:r w:rsidRPr="006C7A35">
        <w:rPr>
          <w:rFonts w:eastAsia="Times New Roman" w:cs="Arial"/>
          <w:sz w:val="24"/>
          <w:szCs w:val="24"/>
          <w:lang w:eastAsia="pt-PT"/>
        </w:rPr>
        <w:t>.</w:t>
      </w:r>
    </w:p>
    <w:p w:rsidR="006C7A35" w:rsidRPr="006C7A35"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 xml:space="preserve">O tecido gordo ou adiposo representa 20 a 25% do peso do corpo humano e funciona como um recipiente de armazenamento de energia, sob a forma de triglicéridos. Há vinte anos atrás, </w:t>
      </w:r>
      <w:proofErr w:type="spellStart"/>
      <w:r w:rsidRPr="006C7A35">
        <w:rPr>
          <w:rFonts w:eastAsia="Times New Roman" w:cs="Arial"/>
          <w:sz w:val="24"/>
          <w:szCs w:val="24"/>
          <w:lang w:eastAsia="pt-PT"/>
        </w:rPr>
        <w:t>Jeffrey</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Friedman</w:t>
      </w:r>
      <w:proofErr w:type="spellEnd"/>
      <w:r w:rsidRPr="006C7A35">
        <w:rPr>
          <w:rFonts w:eastAsia="Times New Roman" w:cs="Arial"/>
          <w:sz w:val="24"/>
          <w:szCs w:val="24"/>
          <w:lang w:eastAsia="pt-PT"/>
        </w:rPr>
        <w:t xml:space="preserve"> e colegas identificaram uma hormona, a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que é produzida pelas células do tecido gordo e informa o cérebro sobre a quantidade de gordura disponível no corpo. Níveis baixos de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aumentam o apetite e diminuem o metabolismo basal, </w:t>
      </w:r>
      <w:proofErr w:type="gramStart"/>
      <w:r w:rsidRPr="006C7A35">
        <w:rPr>
          <w:rFonts w:eastAsia="Times New Roman" w:cs="Arial"/>
          <w:sz w:val="24"/>
          <w:szCs w:val="24"/>
          <w:lang w:eastAsia="pt-PT"/>
        </w:rPr>
        <w:t>enquanto que</w:t>
      </w:r>
      <w:proofErr w:type="gramEnd"/>
      <w:r w:rsidRPr="006C7A35">
        <w:rPr>
          <w:rFonts w:eastAsia="Times New Roman" w:cs="Arial"/>
          <w:sz w:val="24"/>
          <w:szCs w:val="24"/>
          <w:lang w:eastAsia="pt-PT"/>
        </w:rPr>
        <w:t xml:space="preserve"> níveis altos de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reduzem o apetite e promovem a degradação de gordura. A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funciona assim como um sinal neuro-endócrino que mantém a massa gorda do corpo dentro de níveis estáveis. No entanto, era até agora largamente desconhecida a forma como o cérebro, em resposta à </w:t>
      </w:r>
      <w:proofErr w:type="spellStart"/>
      <w:r w:rsidRPr="006C7A35">
        <w:rPr>
          <w:rFonts w:eastAsia="Times New Roman" w:cs="Arial"/>
          <w:sz w:val="24"/>
          <w:szCs w:val="24"/>
          <w:lang w:eastAsia="pt-PT"/>
        </w:rPr>
        <w:t>l</w:t>
      </w:r>
      <w:r w:rsidR="00B8300D" w:rsidRPr="00B8300D">
        <w:rPr>
          <w:rFonts w:eastAsia="Times New Roman" w:cs="Arial"/>
          <w:sz w:val="24"/>
          <w:szCs w:val="24"/>
          <w:lang w:eastAsia="pt-PT"/>
        </w:rPr>
        <w:t>eptina</w:t>
      </w:r>
      <w:proofErr w:type="spellEnd"/>
      <w:r w:rsidR="00B8300D" w:rsidRPr="00B8300D">
        <w:rPr>
          <w:rFonts w:eastAsia="Times New Roman" w:cs="Arial"/>
          <w:sz w:val="24"/>
          <w:szCs w:val="24"/>
          <w:lang w:eastAsia="pt-PT"/>
        </w:rPr>
        <w:t>, atua no tecido adiposo.</w:t>
      </w:r>
    </w:p>
    <w:p w:rsidR="006C7A35" w:rsidRPr="006C7A35"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Usando diferentes abordagens e técnicas, a equipa de investigação liderada por Ana Domingos conseguiu estabelecer, pela primeira vez, que o tecido adiposo é inervado. "Nós dissecámos estas fibras nervosas do tecido gordo de ratinhos e usando marcadores moleculares identificámos um tipo de neurónios, os neurónios simpáticos", explica Ana Domingos. Mas mais do que isso, "quando utilizámos uma técnica de imagem ultra sensível no tecido adiposo vivo de um ratinho, observámos que as células de gordura são encapsuladas por estes terminais nervosos simpáticos".</w:t>
      </w:r>
    </w:p>
    <w:p w:rsidR="00B8300D" w:rsidRPr="00B8300D"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De seguida, os investigadores usaram ratinhos cujos neurónios simpáticos foram geneticamente modificados para serem ativados por luz azul, permitindo assim analisar a função desses neurónios no tecido gordo.</w:t>
      </w:r>
      <w:r w:rsidR="00B8300D" w:rsidRPr="00B8300D">
        <w:rPr>
          <w:rFonts w:eastAsia="Times New Roman" w:cs="Arial"/>
          <w:sz w:val="24"/>
          <w:szCs w:val="24"/>
          <w:lang w:eastAsia="pt-PT"/>
        </w:rPr>
        <w:t xml:space="preserve"> </w:t>
      </w:r>
      <w:proofErr w:type="spellStart"/>
      <w:r w:rsidRPr="006C7A35">
        <w:rPr>
          <w:rFonts w:eastAsia="Times New Roman" w:cs="Arial"/>
          <w:sz w:val="24"/>
          <w:szCs w:val="24"/>
          <w:lang w:eastAsia="pt-PT"/>
        </w:rPr>
        <w:t>Roksana</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Pirzgalska</w:t>
      </w:r>
      <w:proofErr w:type="spellEnd"/>
      <w:r w:rsidRPr="006C7A35">
        <w:rPr>
          <w:rFonts w:eastAsia="Times New Roman" w:cs="Arial"/>
          <w:sz w:val="24"/>
          <w:szCs w:val="24"/>
          <w:lang w:eastAsia="pt-PT"/>
        </w:rPr>
        <w:t>,</w:t>
      </w:r>
      <w:r w:rsidR="00B8300D" w:rsidRPr="00B8300D">
        <w:rPr>
          <w:rFonts w:eastAsia="Times New Roman" w:cs="Arial"/>
          <w:sz w:val="24"/>
          <w:szCs w:val="24"/>
          <w:lang w:eastAsia="pt-PT"/>
        </w:rPr>
        <w:t xml:space="preserve"> </w:t>
      </w:r>
      <w:r w:rsidRPr="006C7A35">
        <w:rPr>
          <w:rFonts w:eastAsia="Times New Roman" w:cs="Arial"/>
          <w:sz w:val="24"/>
          <w:szCs w:val="24"/>
          <w:lang w:eastAsia="pt-PT"/>
        </w:rPr>
        <w:t xml:space="preserve">estudante de doutoramento no laboratório de Ana Domingos e primeira </w:t>
      </w:r>
      <w:proofErr w:type="spellStart"/>
      <w:r w:rsidRPr="006C7A35">
        <w:rPr>
          <w:rFonts w:eastAsia="Times New Roman" w:cs="Arial"/>
          <w:sz w:val="24"/>
          <w:szCs w:val="24"/>
          <w:lang w:eastAsia="pt-PT"/>
        </w:rPr>
        <w:t>co-autora</w:t>
      </w:r>
      <w:proofErr w:type="spellEnd"/>
      <w:r w:rsidRPr="006C7A35">
        <w:rPr>
          <w:rFonts w:eastAsia="Times New Roman" w:cs="Arial"/>
          <w:sz w:val="24"/>
          <w:szCs w:val="24"/>
          <w:lang w:eastAsia="pt-PT"/>
        </w:rPr>
        <w:t xml:space="preserve"> deste estudo, explica: “Nós usámos uma técnica muito potente, chamada </w:t>
      </w:r>
      <w:proofErr w:type="spellStart"/>
      <w:r w:rsidRPr="006C7A35">
        <w:rPr>
          <w:rFonts w:eastAsia="Times New Roman" w:cs="Arial"/>
          <w:sz w:val="24"/>
          <w:szCs w:val="24"/>
          <w:lang w:eastAsia="pt-PT"/>
        </w:rPr>
        <w:t>optogenética</w:t>
      </w:r>
      <w:proofErr w:type="spellEnd"/>
      <w:r w:rsidRPr="006C7A35">
        <w:rPr>
          <w:rFonts w:eastAsia="Times New Roman" w:cs="Arial"/>
          <w:sz w:val="24"/>
          <w:szCs w:val="24"/>
          <w:lang w:eastAsia="pt-PT"/>
        </w:rPr>
        <w:t xml:space="preserve">, para estimular localmente estes neurónios simpáticos em bolsas de gordura de ratinhos e observámos a degradação da gordura e perda de massa gorda”. </w:t>
      </w:r>
    </w:p>
    <w:p w:rsidR="006C7A35" w:rsidRPr="006C7A35"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 xml:space="preserve">Ana Domingos acrescenta: “A ativação local destes neurónios leva á libertação de norepinefrina, um neurotransmissor que promove uma cascata de sinais nas células gordas que levam à sua degradação. Sem estes neurónios, a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não é capaz de promover a degradação da gordura.” As conclusões e a direção </w:t>
      </w:r>
      <w:proofErr w:type="gramStart"/>
      <w:r w:rsidRPr="006C7A35">
        <w:rPr>
          <w:rFonts w:eastAsia="Times New Roman" w:cs="Arial"/>
          <w:sz w:val="24"/>
          <w:szCs w:val="24"/>
          <w:lang w:eastAsia="pt-PT"/>
        </w:rPr>
        <w:t>futura é clara</w:t>
      </w:r>
      <w:proofErr w:type="gramEnd"/>
      <w:r w:rsidRPr="006C7A35">
        <w:rPr>
          <w:rFonts w:eastAsia="Times New Roman" w:cs="Arial"/>
          <w:sz w:val="24"/>
          <w:szCs w:val="24"/>
          <w:lang w:eastAsia="pt-PT"/>
        </w:rPr>
        <w:t xml:space="preserve"> para Ana Domingos: “Este resultado dá-nos novas pistas para o tratamento de resistência à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no sistema nervoso central, uma condição em que o cérebro de pessoas obesas não consegue responder à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Jeffrey</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Friedman</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co-autor</w:t>
      </w:r>
      <w:proofErr w:type="spellEnd"/>
      <w:r w:rsidRPr="006C7A35">
        <w:rPr>
          <w:rFonts w:eastAsia="Times New Roman" w:cs="Arial"/>
          <w:sz w:val="24"/>
          <w:szCs w:val="24"/>
          <w:lang w:eastAsia="pt-PT"/>
        </w:rPr>
        <w:t xml:space="preserve"> sénior acrescenta: “Estes resultados acrescentam uma peça importante ao puzzle que permite à </w:t>
      </w:r>
      <w:proofErr w:type="spellStart"/>
      <w:r w:rsidRPr="006C7A35">
        <w:rPr>
          <w:rFonts w:eastAsia="Times New Roman" w:cs="Arial"/>
          <w:sz w:val="24"/>
          <w:szCs w:val="24"/>
          <w:lang w:eastAsia="pt-PT"/>
        </w:rPr>
        <w:t>leptina</w:t>
      </w:r>
      <w:proofErr w:type="spellEnd"/>
      <w:r w:rsidRPr="006C7A35">
        <w:rPr>
          <w:rFonts w:eastAsia="Times New Roman" w:cs="Arial"/>
          <w:sz w:val="24"/>
          <w:szCs w:val="24"/>
          <w:lang w:eastAsia="pt-PT"/>
        </w:rPr>
        <w:t xml:space="preserve"> induzir a perda de gordura”.</w:t>
      </w:r>
    </w:p>
    <w:p w:rsidR="006C7A35" w:rsidRPr="00B8300D" w:rsidRDefault="006C7A35" w:rsidP="006C7A35">
      <w:pPr>
        <w:shd w:val="clear" w:color="auto" w:fill="FFFFFF"/>
        <w:spacing w:after="0" w:line="240" w:lineRule="auto"/>
        <w:jc w:val="both"/>
        <w:rPr>
          <w:rFonts w:eastAsia="Times New Roman" w:cs="Arial"/>
          <w:sz w:val="24"/>
          <w:szCs w:val="24"/>
          <w:lang w:eastAsia="pt-PT"/>
        </w:rPr>
      </w:pPr>
      <w:r w:rsidRPr="006C7A35">
        <w:rPr>
          <w:rFonts w:eastAsia="Times New Roman" w:cs="Arial"/>
          <w:sz w:val="24"/>
          <w:szCs w:val="24"/>
          <w:lang w:eastAsia="pt-PT"/>
        </w:rPr>
        <w:t>Este trabalho foi financiado pela Fundação para a Ciência e a Tecnologia (FCT; Portugal), a</w:t>
      </w:r>
      <w:r w:rsidR="00B8300D" w:rsidRPr="00B8300D">
        <w:rPr>
          <w:rFonts w:eastAsia="Times New Roman" w:cs="Arial"/>
          <w:sz w:val="24"/>
          <w:szCs w:val="24"/>
          <w:lang w:eastAsia="pt-PT"/>
        </w:rPr>
        <w:t xml:space="preserve"> </w:t>
      </w:r>
      <w:proofErr w:type="spellStart"/>
      <w:r w:rsidRPr="006C7A35">
        <w:rPr>
          <w:rFonts w:eastAsia="Times New Roman" w:cs="Arial"/>
          <w:sz w:val="24"/>
          <w:szCs w:val="24"/>
          <w:lang w:eastAsia="pt-PT"/>
        </w:rPr>
        <w:t>European</w:t>
      </w:r>
      <w:proofErr w:type="spellEnd"/>
      <w:r w:rsidRPr="006C7A35">
        <w:rPr>
          <w:rFonts w:eastAsia="Times New Roman" w:cs="Arial"/>
          <w:sz w:val="24"/>
          <w:szCs w:val="24"/>
          <w:lang w:eastAsia="pt-PT"/>
        </w:rPr>
        <w:t xml:space="preserve"> Molecular </w:t>
      </w:r>
      <w:proofErr w:type="spellStart"/>
      <w:r w:rsidRPr="006C7A35">
        <w:rPr>
          <w:rFonts w:eastAsia="Times New Roman" w:cs="Arial"/>
          <w:sz w:val="24"/>
          <w:szCs w:val="24"/>
          <w:lang w:eastAsia="pt-PT"/>
        </w:rPr>
        <w:t>Biology</w:t>
      </w:r>
      <w:proofErr w:type="spellEnd"/>
      <w:r w:rsidRPr="006C7A35">
        <w:rPr>
          <w:rFonts w:eastAsia="Times New Roman" w:cs="Arial"/>
          <w:sz w:val="24"/>
          <w:szCs w:val="24"/>
          <w:lang w:eastAsia="pt-PT"/>
        </w:rPr>
        <w:t xml:space="preserve"> </w:t>
      </w:r>
      <w:proofErr w:type="spellStart"/>
      <w:r w:rsidRPr="006C7A35">
        <w:rPr>
          <w:rFonts w:eastAsia="Times New Roman" w:cs="Arial"/>
          <w:sz w:val="24"/>
          <w:szCs w:val="24"/>
          <w:lang w:eastAsia="pt-PT"/>
        </w:rPr>
        <w:t>Organization</w:t>
      </w:r>
      <w:proofErr w:type="spellEnd"/>
      <w:r w:rsidRPr="006C7A35">
        <w:rPr>
          <w:rFonts w:eastAsia="Times New Roman" w:cs="Arial"/>
          <w:sz w:val="24"/>
          <w:szCs w:val="24"/>
          <w:lang w:eastAsia="pt-PT"/>
        </w:rPr>
        <w:t xml:space="preserve"> (EMBO) e a JPB Foundation.</w:t>
      </w:r>
    </w:p>
    <w:p w:rsidR="00B8300D" w:rsidRDefault="00B8300D" w:rsidP="006C7A35">
      <w:pPr>
        <w:shd w:val="clear" w:color="auto" w:fill="FFFFFF"/>
        <w:spacing w:after="0" w:line="240" w:lineRule="auto"/>
        <w:jc w:val="both"/>
        <w:rPr>
          <w:rFonts w:eastAsia="Times New Roman" w:cs="Arial"/>
          <w:sz w:val="24"/>
          <w:szCs w:val="24"/>
          <w:lang w:eastAsia="pt-PT"/>
        </w:rPr>
      </w:pPr>
    </w:p>
    <w:p w:rsidR="00A527D7" w:rsidRPr="00A527D7" w:rsidRDefault="00823EDD" w:rsidP="006C7A35">
      <w:pPr>
        <w:shd w:val="clear" w:color="auto" w:fill="FFFFFF"/>
        <w:spacing w:after="0" w:line="240" w:lineRule="auto"/>
        <w:jc w:val="both"/>
        <w:rPr>
          <w:rFonts w:cs="Arial"/>
          <w:color w:val="222222"/>
          <w:sz w:val="24"/>
          <w:szCs w:val="24"/>
          <w:shd w:val="clear" w:color="auto" w:fill="FFFFFF"/>
        </w:rPr>
      </w:pPr>
      <w:r w:rsidRPr="00A527D7">
        <w:rPr>
          <w:rFonts w:cs="Arial"/>
          <w:color w:val="222222"/>
          <w:sz w:val="24"/>
          <w:szCs w:val="24"/>
          <w:shd w:val="clear" w:color="auto" w:fill="FFFFFF"/>
        </w:rPr>
        <w:lastRenderedPageBreak/>
        <w:t>Inês</w:t>
      </w:r>
      <w:r w:rsidR="00A527D7" w:rsidRPr="00A527D7">
        <w:rPr>
          <w:rFonts w:cs="Arial"/>
          <w:color w:val="222222"/>
          <w:sz w:val="24"/>
          <w:szCs w:val="24"/>
          <w:shd w:val="clear" w:color="auto" w:fill="FFFFFF"/>
        </w:rPr>
        <w:t xml:space="preserve"> Domingues (IGC)</w:t>
      </w:r>
    </w:p>
    <w:p w:rsidR="00A527D7" w:rsidRPr="00A527D7" w:rsidRDefault="00A527D7" w:rsidP="006C7A35">
      <w:pPr>
        <w:shd w:val="clear" w:color="auto" w:fill="FFFFFF"/>
        <w:spacing w:after="0" w:line="240" w:lineRule="auto"/>
        <w:jc w:val="both"/>
        <w:rPr>
          <w:rFonts w:cs="Arial"/>
          <w:color w:val="222222"/>
          <w:sz w:val="24"/>
          <w:szCs w:val="24"/>
          <w:shd w:val="clear" w:color="auto" w:fill="FFFFFF"/>
        </w:rPr>
      </w:pPr>
      <w:r w:rsidRPr="00A527D7">
        <w:rPr>
          <w:rFonts w:cs="Arial"/>
          <w:color w:val="222222"/>
          <w:sz w:val="24"/>
          <w:szCs w:val="24"/>
          <w:shd w:val="clear" w:color="auto" w:fill="FFFFFF"/>
        </w:rPr>
        <w:t>Ciência na Imprensa Regional – Ciência Viva</w:t>
      </w:r>
    </w:p>
    <w:p w:rsidR="00A527D7" w:rsidRPr="006C7A35" w:rsidRDefault="00A527D7" w:rsidP="006C7A35">
      <w:pPr>
        <w:shd w:val="clear" w:color="auto" w:fill="FFFFFF"/>
        <w:spacing w:after="0" w:line="240" w:lineRule="auto"/>
        <w:jc w:val="both"/>
        <w:rPr>
          <w:rFonts w:eastAsia="Times New Roman" w:cs="Arial"/>
          <w:sz w:val="24"/>
          <w:szCs w:val="24"/>
          <w:lang w:eastAsia="pt-PT"/>
        </w:rPr>
      </w:pPr>
    </w:p>
    <w:p w:rsidR="00B8300D" w:rsidRPr="00B8300D" w:rsidRDefault="00B8300D" w:rsidP="006C7A35">
      <w:pPr>
        <w:shd w:val="clear" w:color="auto" w:fill="FFFFFF"/>
        <w:spacing w:after="0" w:line="240" w:lineRule="auto"/>
        <w:jc w:val="both"/>
        <w:rPr>
          <w:rFonts w:eastAsia="Times New Roman" w:cs="Arial"/>
          <w:sz w:val="24"/>
          <w:szCs w:val="24"/>
          <w:lang w:eastAsia="pt-PT"/>
        </w:rPr>
      </w:pPr>
      <w:r w:rsidRPr="00B8300D">
        <w:rPr>
          <w:rFonts w:eastAsia="Times New Roman" w:cs="Arial"/>
          <w:sz w:val="24"/>
          <w:szCs w:val="24"/>
          <w:lang w:eastAsia="pt-PT"/>
        </w:rPr>
        <w:t>Referência ao artigo:</w:t>
      </w:r>
    </w:p>
    <w:p w:rsidR="006C7A35" w:rsidRPr="006C7A35" w:rsidRDefault="006C7A35" w:rsidP="006C7A35">
      <w:pPr>
        <w:shd w:val="clear" w:color="auto" w:fill="FFFFFF"/>
        <w:spacing w:after="0" w:line="240" w:lineRule="auto"/>
        <w:jc w:val="both"/>
        <w:rPr>
          <w:rFonts w:eastAsia="Times New Roman" w:cs="Arial"/>
          <w:color w:val="222222"/>
          <w:sz w:val="24"/>
          <w:szCs w:val="24"/>
          <w:lang w:val="en-US" w:eastAsia="pt-PT"/>
        </w:rPr>
      </w:pPr>
      <w:proofErr w:type="spellStart"/>
      <w:r w:rsidRPr="006C7A35">
        <w:rPr>
          <w:rFonts w:eastAsia="Times New Roman" w:cs="Arial"/>
          <w:sz w:val="24"/>
          <w:szCs w:val="24"/>
          <w:lang w:eastAsia="pt-PT"/>
        </w:rPr>
        <w:t>Zeng</w:t>
      </w:r>
      <w:proofErr w:type="spellEnd"/>
      <w:r w:rsidRPr="006C7A35">
        <w:rPr>
          <w:rFonts w:eastAsia="Times New Roman" w:cs="Arial"/>
          <w:sz w:val="24"/>
          <w:szCs w:val="24"/>
          <w:lang w:eastAsia="pt-PT"/>
        </w:rPr>
        <w:t xml:space="preserve">, W., </w:t>
      </w:r>
      <w:proofErr w:type="spellStart"/>
      <w:r w:rsidRPr="006C7A35">
        <w:rPr>
          <w:rFonts w:eastAsia="Times New Roman" w:cs="Arial"/>
          <w:sz w:val="24"/>
          <w:szCs w:val="24"/>
          <w:lang w:eastAsia="pt-PT"/>
        </w:rPr>
        <w:t>Pirzgalska</w:t>
      </w:r>
      <w:proofErr w:type="spellEnd"/>
      <w:r w:rsidRPr="006C7A35">
        <w:rPr>
          <w:rFonts w:eastAsia="Times New Roman" w:cs="Arial"/>
          <w:sz w:val="24"/>
          <w:szCs w:val="24"/>
          <w:lang w:eastAsia="pt-PT"/>
        </w:rPr>
        <w:t xml:space="preserve">, R.M., Pereira, M.A.M., </w:t>
      </w:r>
      <w:proofErr w:type="spellStart"/>
      <w:r w:rsidRPr="006C7A35">
        <w:rPr>
          <w:rFonts w:eastAsia="Times New Roman" w:cs="Arial"/>
          <w:sz w:val="24"/>
          <w:szCs w:val="24"/>
          <w:lang w:eastAsia="pt-PT"/>
        </w:rPr>
        <w:t>Kubasova</w:t>
      </w:r>
      <w:proofErr w:type="spellEnd"/>
      <w:r w:rsidRPr="006C7A35">
        <w:rPr>
          <w:rFonts w:eastAsia="Times New Roman" w:cs="Arial"/>
          <w:sz w:val="24"/>
          <w:szCs w:val="24"/>
          <w:lang w:eastAsia="pt-PT"/>
        </w:rPr>
        <w:t xml:space="preserve">, N., Barateiro, A., Seixas, E., </w:t>
      </w:r>
      <w:proofErr w:type="spellStart"/>
      <w:r w:rsidRPr="006C7A35">
        <w:rPr>
          <w:rFonts w:eastAsia="Times New Roman" w:cs="Arial"/>
          <w:sz w:val="24"/>
          <w:szCs w:val="24"/>
          <w:lang w:eastAsia="pt-PT"/>
        </w:rPr>
        <w:t>Lu</w:t>
      </w:r>
      <w:proofErr w:type="spellEnd"/>
      <w:r w:rsidRPr="006C7A35">
        <w:rPr>
          <w:rFonts w:eastAsia="Times New Roman" w:cs="Arial"/>
          <w:sz w:val="24"/>
          <w:szCs w:val="24"/>
          <w:lang w:eastAsia="pt-PT"/>
        </w:rPr>
        <w:t xml:space="preserve">, Y., </w:t>
      </w:r>
      <w:proofErr w:type="spellStart"/>
      <w:r w:rsidRPr="006C7A35">
        <w:rPr>
          <w:rFonts w:eastAsia="Times New Roman" w:cs="Arial"/>
          <w:sz w:val="24"/>
          <w:szCs w:val="24"/>
          <w:lang w:eastAsia="pt-PT"/>
        </w:rPr>
        <w:t>Kozlova</w:t>
      </w:r>
      <w:proofErr w:type="spellEnd"/>
      <w:r w:rsidRPr="006C7A35">
        <w:rPr>
          <w:rFonts w:eastAsia="Times New Roman" w:cs="Arial"/>
          <w:sz w:val="24"/>
          <w:szCs w:val="24"/>
          <w:lang w:eastAsia="pt-PT"/>
        </w:rPr>
        <w:t xml:space="preserve">, A., </w:t>
      </w:r>
      <w:proofErr w:type="spellStart"/>
      <w:r w:rsidRPr="006C7A35">
        <w:rPr>
          <w:rFonts w:eastAsia="Times New Roman" w:cs="Arial"/>
          <w:sz w:val="24"/>
          <w:szCs w:val="24"/>
          <w:lang w:eastAsia="pt-PT"/>
        </w:rPr>
        <w:t>Voss</w:t>
      </w:r>
      <w:proofErr w:type="spellEnd"/>
      <w:r w:rsidRPr="006C7A35">
        <w:rPr>
          <w:rFonts w:eastAsia="Times New Roman" w:cs="Arial"/>
          <w:sz w:val="24"/>
          <w:szCs w:val="24"/>
          <w:lang w:eastAsia="pt-PT"/>
        </w:rPr>
        <w:t xml:space="preserve">, H., Martins, G.G., </w:t>
      </w:r>
      <w:proofErr w:type="spellStart"/>
      <w:r w:rsidRPr="006C7A35">
        <w:rPr>
          <w:rFonts w:eastAsia="Times New Roman" w:cs="Arial"/>
          <w:sz w:val="24"/>
          <w:szCs w:val="24"/>
          <w:lang w:eastAsia="pt-PT"/>
        </w:rPr>
        <w:t>Friedman</w:t>
      </w:r>
      <w:proofErr w:type="spellEnd"/>
      <w:r w:rsidRPr="006C7A35">
        <w:rPr>
          <w:rFonts w:eastAsia="Times New Roman" w:cs="Arial"/>
          <w:sz w:val="24"/>
          <w:szCs w:val="24"/>
          <w:lang w:eastAsia="pt-PT"/>
        </w:rPr>
        <w:t xml:space="preserve">, J.M., Domingos, A.I. (2015). </w:t>
      </w:r>
      <w:r w:rsidRPr="006C7A35">
        <w:rPr>
          <w:rFonts w:eastAsia="Times New Roman" w:cs="Arial"/>
          <w:sz w:val="24"/>
          <w:szCs w:val="24"/>
          <w:lang w:val="en-GB" w:eastAsia="pt-PT"/>
        </w:rPr>
        <w:t xml:space="preserve">Sympathetic </w:t>
      </w:r>
      <w:proofErr w:type="spellStart"/>
      <w:r w:rsidRPr="006C7A35">
        <w:rPr>
          <w:rFonts w:eastAsia="Times New Roman" w:cs="Arial"/>
          <w:sz w:val="24"/>
          <w:szCs w:val="24"/>
          <w:lang w:val="en-GB" w:eastAsia="pt-PT"/>
        </w:rPr>
        <w:t>Neuro</w:t>
      </w:r>
      <w:proofErr w:type="spellEnd"/>
      <w:r w:rsidRPr="006C7A35">
        <w:rPr>
          <w:rFonts w:eastAsia="Times New Roman" w:cs="Arial"/>
          <w:sz w:val="24"/>
          <w:szCs w:val="24"/>
          <w:lang w:val="en-GB" w:eastAsia="pt-PT"/>
        </w:rPr>
        <w:t xml:space="preserve">-Adipose Connections Mediate </w:t>
      </w:r>
      <w:proofErr w:type="spellStart"/>
      <w:r w:rsidRPr="006C7A35">
        <w:rPr>
          <w:rFonts w:eastAsia="Times New Roman" w:cs="Arial"/>
          <w:sz w:val="24"/>
          <w:szCs w:val="24"/>
          <w:lang w:val="en-GB" w:eastAsia="pt-PT"/>
        </w:rPr>
        <w:t>Leptin</w:t>
      </w:r>
      <w:proofErr w:type="spellEnd"/>
      <w:r w:rsidRPr="006C7A35">
        <w:rPr>
          <w:rFonts w:eastAsia="Times New Roman" w:cs="Arial"/>
          <w:sz w:val="24"/>
          <w:szCs w:val="24"/>
          <w:lang w:val="en-GB" w:eastAsia="pt-PT"/>
        </w:rPr>
        <w:t>-Driven</w:t>
      </w:r>
      <w:r w:rsidRPr="006C7A35">
        <w:rPr>
          <w:rFonts w:eastAsia="Times New Roman" w:cs="Arial"/>
          <w:color w:val="222222"/>
          <w:sz w:val="24"/>
          <w:szCs w:val="24"/>
          <w:lang w:val="en-GB" w:eastAsia="pt-PT"/>
        </w:rPr>
        <w:t xml:space="preserve"> </w:t>
      </w:r>
      <w:proofErr w:type="spellStart"/>
      <w:r w:rsidRPr="006C7A35">
        <w:rPr>
          <w:rFonts w:eastAsia="Times New Roman" w:cs="Arial"/>
          <w:color w:val="222222"/>
          <w:sz w:val="24"/>
          <w:szCs w:val="24"/>
          <w:lang w:val="en-GB" w:eastAsia="pt-PT"/>
        </w:rPr>
        <w:t>Lipolysis</w:t>
      </w:r>
      <w:proofErr w:type="spellEnd"/>
      <w:r w:rsidRPr="006C7A35">
        <w:rPr>
          <w:rFonts w:eastAsia="Times New Roman" w:cs="Arial"/>
          <w:color w:val="222222"/>
          <w:sz w:val="24"/>
          <w:szCs w:val="24"/>
          <w:lang w:val="en-GB" w:eastAsia="pt-PT"/>
        </w:rPr>
        <w:t>.</w:t>
      </w:r>
      <w:r w:rsidR="00B8300D">
        <w:rPr>
          <w:rFonts w:eastAsia="Times New Roman" w:cs="Arial"/>
          <w:color w:val="222222"/>
          <w:sz w:val="24"/>
          <w:szCs w:val="24"/>
          <w:lang w:val="en-GB" w:eastAsia="pt-PT"/>
        </w:rPr>
        <w:t xml:space="preserve"> </w:t>
      </w:r>
      <w:proofErr w:type="gramStart"/>
      <w:r w:rsidRPr="006C7A35">
        <w:rPr>
          <w:rFonts w:eastAsia="Times New Roman" w:cs="Arial"/>
          <w:b/>
          <w:bCs/>
          <w:color w:val="222222"/>
          <w:sz w:val="24"/>
          <w:szCs w:val="24"/>
          <w:lang w:val="en-GB" w:eastAsia="pt-PT"/>
        </w:rPr>
        <w:t>Cell</w:t>
      </w:r>
      <w:r w:rsidRPr="006C7A35">
        <w:rPr>
          <w:rFonts w:eastAsia="Times New Roman" w:cs="Arial"/>
          <w:color w:val="222222"/>
          <w:sz w:val="24"/>
          <w:szCs w:val="24"/>
          <w:lang w:val="en-GB" w:eastAsia="pt-PT"/>
        </w:rPr>
        <w:t>.</w:t>
      </w:r>
      <w:proofErr w:type="gramEnd"/>
      <w:r w:rsidR="00B8300D">
        <w:rPr>
          <w:rFonts w:eastAsia="Times New Roman" w:cs="Arial"/>
          <w:color w:val="222222"/>
          <w:sz w:val="24"/>
          <w:szCs w:val="24"/>
          <w:lang w:val="en-GB" w:eastAsia="pt-PT"/>
        </w:rPr>
        <w:t xml:space="preserve"> </w:t>
      </w:r>
      <w:hyperlink r:id="rId4" w:tgtFrame="_blank" w:history="1">
        <w:r w:rsidRPr="006C7A35">
          <w:rPr>
            <w:rFonts w:eastAsia="Times New Roman" w:cs="Arial"/>
            <w:color w:val="1155CC"/>
            <w:sz w:val="24"/>
            <w:szCs w:val="24"/>
            <w:u w:val="single"/>
            <w:lang w:val="en-US" w:eastAsia="pt-PT"/>
          </w:rPr>
          <w:t>http://dx.doi.org/10.1016/j.cell.2015.08.055</w:t>
        </w:r>
      </w:hyperlink>
    </w:p>
    <w:p w:rsidR="006C7A35" w:rsidRPr="006C7A35" w:rsidRDefault="006C7A35">
      <w:pPr>
        <w:rPr>
          <w:lang w:val="en-US"/>
        </w:rPr>
      </w:pPr>
    </w:p>
    <w:sectPr w:rsidR="006C7A35" w:rsidRPr="006C7A35" w:rsidSect="004515C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6C7A35"/>
    <w:rsid w:val="00362D13"/>
    <w:rsid w:val="004515C9"/>
    <w:rsid w:val="006C7A35"/>
    <w:rsid w:val="00823EDD"/>
    <w:rsid w:val="00943EA8"/>
    <w:rsid w:val="00A527D7"/>
    <w:rsid w:val="00B8300D"/>
    <w:rsid w:val="00C07869"/>
    <w:rsid w:val="00D73F0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5C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6C7A35"/>
  </w:style>
  <w:style w:type="character" w:styleId="Hiperligao">
    <w:name w:val="Hyperlink"/>
    <w:basedOn w:val="Tipodeletrapredefinidodopargrafo"/>
    <w:uiPriority w:val="99"/>
    <w:semiHidden/>
    <w:unhideWhenUsed/>
    <w:rsid w:val="006C7A35"/>
    <w:rPr>
      <w:color w:val="0000FF"/>
      <w:u w:val="single"/>
    </w:rPr>
  </w:style>
</w:styles>
</file>

<file path=word/webSettings.xml><?xml version="1.0" encoding="utf-8"?>
<w:webSettings xmlns:r="http://schemas.openxmlformats.org/officeDocument/2006/relationships" xmlns:w="http://schemas.openxmlformats.org/wordprocessingml/2006/main">
  <w:divs>
    <w:div w:id="1372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x.doi.org/10.1016/j.cell.2015.08.05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588</Words>
  <Characters>3181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2015-09-24T11:21:00Z</dcterms:created>
  <dcterms:modified xsi:type="dcterms:W3CDTF">2015-09-24T19:24:00Z</dcterms:modified>
</cp:coreProperties>
</file>