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7209C5" w:rsidRDefault="00E571D7">
      <w:pPr>
        <w:rPr>
          <w:sz w:val="28"/>
          <w:szCs w:val="28"/>
        </w:rPr>
      </w:pPr>
      <w:r w:rsidRPr="007209C5">
        <w:rPr>
          <w:sz w:val="28"/>
          <w:szCs w:val="28"/>
        </w:rPr>
        <w:t>Sistema imunitário afeta as bactérias no intestino</w:t>
      </w:r>
    </w:p>
    <w:p w:rsidR="00E571D7" w:rsidRDefault="00E571D7"/>
    <w:p w:rsidR="00E571D7" w:rsidRDefault="00E571D7">
      <w:pPr>
        <w:rPr>
          <w:rFonts w:cs="Arial"/>
          <w:bCs/>
          <w:color w:val="222222"/>
          <w:sz w:val="24"/>
          <w:szCs w:val="24"/>
          <w:shd w:val="clear" w:color="auto" w:fill="FFFFFF"/>
        </w:rPr>
      </w:pPr>
      <w:r w:rsidRPr="00E571D7">
        <w:rPr>
          <w:rFonts w:cs="Arial"/>
          <w:bCs/>
          <w:color w:val="222222"/>
          <w:sz w:val="24"/>
          <w:szCs w:val="24"/>
          <w:shd w:val="clear" w:color="auto" w:fill="FFFFFF"/>
        </w:rPr>
        <w:t xml:space="preserve">Cientistas do </w:t>
      </w:r>
      <w:r w:rsidRPr="00E571D7">
        <w:rPr>
          <w:rFonts w:cs="Arial"/>
          <w:color w:val="222222"/>
          <w:sz w:val="24"/>
          <w:szCs w:val="24"/>
          <w:shd w:val="clear" w:color="auto" w:fill="FFFFFF"/>
        </w:rPr>
        <w:t>Instituto Gulbenkian de Ciência</w:t>
      </w:r>
      <w:r w:rsidRPr="00E571D7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E571D7">
        <w:rPr>
          <w:rFonts w:cs="Arial"/>
          <w:bCs/>
          <w:color w:val="222222"/>
          <w:sz w:val="24"/>
          <w:szCs w:val="24"/>
          <w:shd w:val="clear" w:color="auto" w:fill="FFFFFF"/>
        </w:rPr>
        <w:t>descobrem que o sistema imune afeta a evolução de bactérias do intestino.</w:t>
      </w:r>
    </w:p>
    <w:p w:rsidR="00506B27" w:rsidRDefault="00506B27">
      <w:pPr>
        <w:rPr>
          <w:rFonts w:cs="Arial"/>
          <w:bCs/>
          <w:color w:val="222222"/>
          <w:sz w:val="24"/>
          <w:szCs w:val="24"/>
          <w:shd w:val="clear" w:color="auto" w:fill="FFFFFF"/>
        </w:rPr>
      </w:pPr>
    </w:p>
    <w:p w:rsidR="00506B27" w:rsidRPr="00506B27" w:rsidRDefault="00506B27" w:rsidP="00A85A8F">
      <w:pPr>
        <w:shd w:val="clear" w:color="auto" w:fill="FFFFFF"/>
        <w:spacing w:after="0" w:line="240" w:lineRule="auto"/>
        <w:ind w:right="43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A nossa saúde depende fortemente da diversidade de bactérias que habitam o nosso intestino e da forma como o sistema imune tolera essa diversidade ou responde às bactérias patogénicas para prevenir doenças. Num estudo publicado esta semana na revista científica</w:t>
      </w:r>
      <w:r w:rsidR="002B07DE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Nature</w:t>
      </w:r>
      <w:proofErr w:type="spellEnd"/>
      <w:r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Communications</w:t>
      </w:r>
      <w:proofErr w:type="spellEnd"/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, investigadores do Instituto Gulbenkian de Ciência (IGC) descobriram que quando o sistema imune do hospedeiro é comprometido, a composição de bactérias do intestino muda, e o ritmo e a previsibilidade do processo de adaptação</w:t>
      </w:r>
      <w:r w:rsidR="00A85A8F">
        <w:rPr>
          <w:rFonts w:eastAsia="Times New Roman" w:cs="Arial"/>
          <w:color w:val="222222"/>
          <w:sz w:val="24"/>
          <w:szCs w:val="24"/>
          <w:lang w:eastAsia="pt-PT"/>
        </w:rPr>
        <w:t xml:space="preserve"> dessas bactérias são afetados.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Este estudo sugere que o tratamento de patologias intestinais que resultam de um sistema imunitário deficiente, tais como a doença inflamatória intestinal, pode requerer terapias baseadas em medicina personalizada que tenham em conta a composição individual das bactérias intestinais.</w:t>
      </w:r>
    </w:p>
    <w:p w:rsidR="00506B27" w:rsidRPr="00506B27" w:rsidRDefault="00506B27" w:rsidP="00506B27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 xml:space="preserve">Esta investigação, </w:t>
      </w:r>
      <w:r w:rsidRPr="00A85A8F">
        <w:rPr>
          <w:rFonts w:eastAsia="Times New Roman" w:cs="Arial"/>
          <w:sz w:val="24"/>
          <w:szCs w:val="24"/>
          <w:lang w:eastAsia="pt-PT"/>
        </w:rPr>
        <w:t>liderada por</w:t>
      </w:r>
      <w:r w:rsidR="00A85A8F" w:rsidRPr="00A85A8F">
        <w:rPr>
          <w:rFonts w:eastAsia="Times New Roman" w:cs="Arial"/>
          <w:sz w:val="24"/>
          <w:szCs w:val="24"/>
          <w:lang w:eastAsia="pt-PT"/>
        </w:rPr>
        <w:t xml:space="preserve"> </w:t>
      </w:r>
      <w:r w:rsidRPr="00A85A8F">
        <w:rPr>
          <w:rFonts w:eastAsia="Times New Roman" w:cs="Arial"/>
          <w:sz w:val="24"/>
          <w:szCs w:val="24"/>
          <w:lang w:eastAsia="pt-PT"/>
        </w:rPr>
        <w:t>Isab</w:t>
      </w:r>
      <w:r w:rsidRPr="00A85A8F">
        <w:rPr>
          <w:rFonts w:eastAsia="Times New Roman" w:cs="Arial"/>
          <w:sz w:val="24"/>
          <w:szCs w:val="24"/>
          <w:lang w:eastAsia="pt-PT"/>
        </w:rPr>
        <w:t>e</w:t>
      </w:r>
      <w:r w:rsidRPr="00A85A8F">
        <w:rPr>
          <w:rFonts w:eastAsia="Times New Roman" w:cs="Arial"/>
          <w:sz w:val="24"/>
          <w:szCs w:val="24"/>
          <w:lang w:eastAsia="pt-PT"/>
        </w:rPr>
        <w:t>l Gordo</w:t>
      </w:r>
      <w:r w:rsidR="00A85A8F" w:rsidRPr="00A85A8F">
        <w:rPr>
          <w:rFonts w:eastAsia="Times New Roman" w:cs="Arial"/>
          <w:sz w:val="24"/>
          <w:szCs w:val="24"/>
          <w:lang w:eastAsia="pt-PT"/>
        </w:rPr>
        <w:t xml:space="preserve"> </w:t>
      </w:r>
      <w:r w:rsidRPr="00A85A8F">
        <w:rPr>
          <w:rFonts w:eastAsia="Times New Roman" w:cs="Arial"/>
          <w:sz w:val="24"/>
          <w:szCs w:val="24"/>
          <w:lang w:eastAsia="pt-PT"/>
        </w:rPr>
        <w:t>e</w:t>
      </w:r>
      <w:r w:rsidR="00A85A8F" w:rsidRPr="00A85A8F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A85A8F">
        <w:rPr>
          <w:rFonts w:eastAsia="Times New Roman" w:cs="Arial"/>
          <w:sz w:val="24"/>
          <w:szCs w:val="24"/>
          <w:lang w:eastAsia="pt-PT"/>
        </w:rPr>
        <w:t>Jocelyn</w:t>
      </w:r>
      <w:r w:rsidRPr="00A85A8F">
        <w:rPr>
          <w:rFonts w:eastAsia="Times New Roman" w:cs="Arial"/>
          <w:sz w:val="24"/>
          <w:szCs w:val="24"/>
          <w:lang w:eastAsia="pt-PT"/>
        </w:rPr>
        <w:t>e</w:t>
      </w:r>
      <w:proofErr w:type="spellEnd"/>
      <w:r w:rsidRPr="00A85A8F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A85A8F">
        <w:rPr>
          <w:rFonts w:eastAsia="Times New Roman" w:cs="Arial"/>
          <w:sz w:val="24"/>
          <w:szCs w:val="24"/>
          <w:lang w:eastAsia="pt-PT"/>
        </w:rPr>
        <w:t>Demengeot</w:t>
      </w:r>
      <w:proofErr w:type="spellEnd"/>
      <w:r w:rsidR="00A85A8F" w:rsidRPr="00A85A8F">
        <w:rPr>
          <w:rFonts w:eastAsia="Times New Roman" w:cs="Arial"/>
          <w:sz w:val="24"/>
          <w:szCs w:val="24"/>
          <w:lang w:eastAsia="pt-PT"/>
        </w:rPr>
        <w:t xml:space="preserve">, </w:t>
      </w:r>
      <w:r w:rsidRPr="00A85A8F">
        <w:rPr>
          <w:rFonts w:eastAsia="Times New Roman" w:cs="Arial"/>
          <w:sz w:val="24"/>
          <w:szCs w:val="24"/>
          <w:lang w:eastAsia="pt-PT"/>
        </w:rPr>
        <w:t>é o primeiro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 xml:space="preserve"> trabalho experimental que confirma a hipótese de que o sistema imune influencia a evolução das bactérias do intestino. O intestino é um ambiente altamente complexo, tendo as bactérias aí residentes de se adaptar e evoluir para lidarem de forma eficiente com os diferentes estímulos, incluindo a dieta diversificada que ingerimos todos os dias. Isto origina cada vez mais diversidade de bactérias, que necessitam de ser controladas pelo nosso mecanismo de vigilância, o sistema imunitário, de modo a evitar doenças. Já se sabia que surgem patologias quando o sistema imunitário falha e há disrupção na comunidade de bactérias do intestino. Mas uma ligação direta ou indireta entre o sistema imunitário e a evolução de bactérias ainda não tinha sido provada.</w:t>
      </w:r>
    </w:p>
    <w:p w:rsidR="00506B27" w:rsidRPr="00506B27" w:rsidRDefault="00A85A8F" w:rsidP="00A85A8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A equipa de cientistas do IGC investigou como é que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a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="00506B27"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Escherichia</w:t>
      </w:r>
      <w:proofErr w:type="spellEnd"/>
      <w:r w:rsidR="00506B27"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="00506B27"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coli</w:t>
      </w:r>
      <w:proofErr w:type="spellEnd"/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(</w:t>
      </w:r>
      <w:r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E. </w:t>
      </w:r>
      <w:proofErr w:type="spellStart"/>
      <w:r w:rsidR="00506B27"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coli</w:t>
      </w:r>
      <w:proofErr w:type="spellEnd"/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), uma das primeiras bactérias a colonizar o intestino depois do nascimento, evolui em ratos saudáveis e em ratos que não possuem linfócitos,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os glóbulos branc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os do sistema imune. Enquanto em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animais saudáveis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são observadas rápidas adaptações metabólicas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à die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ta, as mudanças são mais lentas em ratos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imunologicamente comprometidos, onde o sistema i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mune não funciona corretamente.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Os investigadores observaram ainda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que o mesmo tipo de adaptações benéficas ocorria em todos os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ratos saudáveis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que foram estudados. No entanto, nos animais que não possuem linfócitos, foram observadas grandes variações entre indivíduos, tornando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difíci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l prever ocurso de evolução das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bactér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ias naqueles animais. João Batista, estudante de doutoramento e primeiro autor do estudo, explica: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"Nós observámos que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esta característica se deve a mudanças na composição da comunidade de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bac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térias no intestino, que é mais semelhante em indivíduos com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um s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istema imune saudável e bastante mais diversificada em animais com um sistema imune comprometido. </w:t>
      </w:r>
      <w:r w:rsidR="00506B27" w:rsidRPr="00506B27">
        <w:rPr>
          <w:rFonts w:eastAsia="Times New Roman" w:cs="Arial"/>
          <w:color w:val="222222"/>
          <w:sz w:val="24"/>
          <w:szCs w:val="24"/>
          <w:lang w:eastAsia="pt-PT"/>
        </w:rPr>
        <w:t>"</w:t>
      </w:r>
    </w:p>
    <w:p w:rsidR="00506B27" w:rsidRPr="00506B27" w:rsidRDefault="00506B27" w:rsidP="00ED6D2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“Foi possível desenvolver este trabalho de investigação porque no IGC há um espírito de cooperação que junta grupos de investigação de diferentes áreas de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 ação. Assim, integrámos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os nossos conhecimentos sobre evolução e imunologia para estudar as comple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xas interações existentes entre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o sistema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imun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e dos vertebrados, composto por inúmeras células diferentes, e a </w:t>
      </w:r>
      <w:proofErr w:type="spellStart"/>
      <w:r w:rsidR="00ED6D25">
        <w:rPr>
          <w:rFonts w:eastAsia="Times New Roman" w:cs="Arial"/>
          <w:color w:val="222222"/>
          <w:sz w:val="24"/>
          <w:szCs w:val="24"/>
          <w:lang w:eastAsia="pt-PT"/>
        </w:rPr>
        <w:t>microbiota</w:t>
      </w:r>
      <w:proofErr w:type="spellEnd"/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 intestinal, também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 xml:space="preserve">composta 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por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inúm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eras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lastRenderedPageBreak/>
        <w:t>bactérias diferentes.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 Aprendemos que o sistema imune funciona como um normalizador da composição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 xml:space="preserve">de bactérias do intestino", comenta </w:t>
      </w:r>
      <w:proofErr w:type="spellStart"/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Jocelyne</w:t>
      </w:r>
      <w:proofErr w:type="spellEnd"/>
      <w:r w:rsidRPr="00506B27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Demengeot</w:t>
      </w:r>
      <w:proofErr w:type="spellEnd"/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.</w:t>
      </w:r>
    </w:p>
    <w:p w:rsidR="00506B27" w:rsidRPr="00506B27" w:rsidRDefault="00506B27" w:rsidP="00ED6D2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Isabel Gordo acrescenta: "O nosso trabalho mostra que é possível prever a evolução das bactérias comensais em organismos saudáveis, mas o mesmo não acontece em organismos com problemas no seu sistema imune. Assim, o uso de terapias generalistas para tratar pessoas que sofrem de patologias intestinais resultantes de um sistema imunitário deficiente, como é o caso da doença inflamatória do intestino, pode não ser a melhor abordagem. Em vez disso, devem ser consideradas terapias baseadas em medicina personalizada, que tenham em conta a composição de bactérias do intestino de cada pessoa."</w:t>
      </w:r>
    </w:p>
    <w:p w:rsidR="00506B27" w:rsidRPr="00506B27" w:rsidRDefault="00506B27" w:rsidP="00ED6D2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Recentemente,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 o trabalho desenvolvido por esta equipa que antecedeu este estudo foi distinguido com o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Prémio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PLOS </w:t>
      </w:r>
      <w:proofErr w:type="spellStart"/>
      <w:r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Genetics</w:t>
      </w:r>
      <w:proofErr w:type="spellEnd"/>
      <w:r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Research </w:t>
      </w:r>
      <w:proofErr w:type="spellStart"/>
      <w:r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Award</w:t>
      </w:r>
      <w:proofErr w:type="spellEnd"/>
      <w:r w:rsidRPr="00506B27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2015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.</w:t>
      </w:r>
      <w:r w:rsidR="00ED6D25">
        <w:rPr>
          <w:rFonts w:eastAsia="Times New Roman" w:cs="Arial"/>
          <w:color w:val="222222"/>
          <w:sz w:val="24"/>
          <w:szCs w:val="24"/>
          <w:lang w:eastAsia="pt-PT"/>
        </w:rPr>
        <w:t xml:space="preserve"> Este estudo foi financiado pelo Conselho de Investigação Europeu e pela Fundação para </w:t>
      </w:r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a Ciência e a Tecnologia.</w:t>
      </w:r>
    </w:p>
    <w:p w:rsidR="00506B27" w:rsidRPr="00506B27" w:rsidRDefault="00506B27" w:rsidP="00506B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A85A8F" w:rsidRDefault="00A85A8F" w:rsidP="00506B27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>Referência do artigo</w:t>
      </w:r>
    </w:p>
    <w:p w:rsidR="00506B27" w:rsidRPr="00506B27" w:rsidRDefault="00506B27" w:rsidP="00506B27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proofErr w:type="spellStart"/>
      <w:r w:rsidRPr="00506B27">
        <w:rPr>
          <w:rFonts w:eastAsia="Times New Roman" w:cs="Arial"/>
          <w:color w:val="222222"/>
          <w:sz w:val="24"/>
          <w:szCs w:val="24"/>
          <w:lang w:val="en-US" w:eastAsia="pt-PT"/>
        </w:rPr>
        <w:t>Barroso</w:t>
      </w:r>
      <w:proofErr w:type="spellEnd"/>
      <w:r w:rsidRPr="00506B27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-Batista, J., </w:t>
      </w:r>
      <w:proofErr w:type="spellStart"/>
      <w:r w:rsidRPr="00506B27">
        <w:rPr>
          <w:rFonts w:eastAsia="Times New Roman" w:cs="Arial"/>
          <w:color w:val="222222"/>
          <w:sz w:val="24"/>
          <w:szCs w:val="24"/>
          <w:lang w:val="en-US" w:eastAsia="pt-PT"/>
        </w:rPr>
        <w:t>Demengeot</w:t>
      </w:r>
      <w:proofErr w:type="spellEnd"/>
      <w:r w:rsidRPr="00506B27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, J., and Gordo, I. (2015) Adaptive immunity increases the pace and predictability of evolutionary change in </w:t>
      </w:r>
      <w:proofErr w:type="spellStart"/>
      <w:r w:rsidRPr="00506B27">
        <w:rPr>
          <w:rFonts w:eastAsia="Times New Roman" w:cs="Arial"/>
          <w:color w:val="222222"/>
          <w:sz w:val="24"/>
          <w:szCs w:val="24"/>
          <w:lang w:val="en-US" w:eastAsia="pt-PT"/>
        </w:rPr>
        <w:t>commensal</w:t>
      </w:r>
      <w:proofErr w:type="spellEnd"/>
      <w:r w:rsidRPr="00506B27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gut bacteria. </w:t>
      </w:r>
      <w:proofErr w:type="spellStart"/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Nature</w:t>
      </w:r>
      <w:proofErr w:type="spellEnd"/>
      <w:r w:rsidRPr="00506B27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Communications</w:t>
      </w:r>
      <w:proofErr w:type="spellEnd"/>
      <w:r w:rsidRPr="00506B27">
        <w:rPr>
          <w:rFonts w:eastAsia="Times New Roman" w:cs="Arial"/>
          <w:color w:val="222222"/>
          <w:sz w:val="24"/>
          <w:szCs w:val="24"/>
          <w:lang w:eastAsia="pt-PT"/>
        </w:rPr>
        <w:t>. DOI: 10.1038/ncomms9945</w:t>
      </w:r>
    </w:p>
    <w:p w:rsidR="00506B27" w:rsidRPr="00506B27" w:rsidRDefault="00A85A8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Link</w:t>
      </w:r>
      <w:proofErr w:type="gramEnd"/>
      <w:r>
        <w:rPr>
          <w:sz w:val="24"/>
          <w:szCs w:val="24"/>
        </w:rPr>
        <w:t xml:space="preserve"> para o artigo: </w:t>
      </w:r>
      <w:r w:rsidRPr="00A85A8F">
        <w:rPr>
          <w:sz w:val="24"/>
          <w:szCs w:val="24"/>
        </w:rPr>
        <w:t>http://www.nature.com/ncomms/2015/151130/ncomms9945/full/ncomms9945.html</w:t>
      </w:r>
    </w:p>
    <w:p w:rsidR="00506B27" w:rsidRPr="00506B27" w:rsidRDefault="00506B27">
      <w:pPr>
        <w:rPr>
          <w:sz w:val="24"/>
          <w:szCs w:val="24"/>
        </w:rPr>
      </w:pPr>
      <w:r w:rsidRPr="00506B27">
        <w:rPr>
          <w:sz w:val="24"/>
          <w:szCs w:val="24"/>
        </w:rPr>
        <w:t>Ana Mena (IGC)</w:t>
      </w:r>
    </w:p>
    <w:p w:rsidR="00506B27" w:rsidRPr="00506B27" w:rsidRDefault="00506B27">
      <w:pPr>
        <w:rPr>
          <w:sz w:val="24"/>
          <w:szCs w:val="24"/>
        </w:rPr>
      </w:pPr>
      <w:r w:rsidRPr="00506B27">
        <w:rPr>
          <w:sz w:val="24"/>
          <w:szCs w:val="24"/>
        </w:rPr>
        <w:t>Ciência na Imprensa Regional – Ciência Viva</w:t>
      </w:r>
    </w:p>
    <w:sectPr w:rsidR="00506B27" w:rsidRPr="00506B27" w:rsidSect="00E25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571D7"/>
    <w:rsid w:val="002B07DE"/>
    <w:rsid w:val="00362D13"/>
    <w:rsid w:val="00450BF1"/>
    <w:rsid w:val="00506B27"/>
    <w:rsid w:val="007209C5"/>
    <w:rsid w:val="00943EA8"/>
    <w:rsid w:val="00A85A8F"/>
    <w:rsid w:val="00E25DA3"/>
    <w:rsid w:val="00E571D7"/>
    <w:rsid w:val="00ED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A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E571D7"/>
  </w:style>
  <w:style w:type="character" w:styleId="Hiperligao">
    <w:name w:val="Hyperlink"/>
    <w:basedOn w:val="Tipodeletrapredefinidodopargrafo"/>
    <w:uiPriority w:val="99"/>
    <w:semiHidden/>
    <w:unhideWhenUsed/>
    <w:rsid w:val="00506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741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2015-12-04T16:02:00Z</dcterms:created>
  <dcterms:modified xsi:type="dcterms:W3CDTF">2015-12-04T16:28:00Z</dcterms:modified>
</cp:coreProperties>
</file>